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A1CE" w14:textId="502CE879" w:rsidR="00BF3C2F" w:rsidRPr="00705E2A" w:rsidRDefault="00BF3C2F" w:rsidP="003C6E36">
      <w:pPr>
        <w:pStyle w:val="Cabealho"/>
        <w:spacing w:line="360" w:lineRule="auto"/>
        <w:jc w:val="center"/>
        <w:rPr>
          <w:rFonts w:ascii="Times New Roman" w:hAnsi="Times New Roman" w:cs="Times New Roman"/>
          <w:sz w:val="24"/>
          <w:szCs w:val="24"/>
        </w:rPr>
      </w:pPr>
      <w:bookmarkStart w:id="0" w:name="_Hlk508043660"/>
      <w:r>
        <w:rPr>
          <w:rFonts w:ascii="Times New Roman" w:eastAsia="Calibri" w:hAnsi="Times New Roman" w:cs="Times New Roman"/>
          <w:sz w:val="24"/>
          <w:szCs w:val="24"/>
        </w:rPr>
        <w:t>Revisão</w:t>
      </w:r>
      <w:r w:rsidRPr="00705E2A">
        <w:rPr>
          <w:rFonts w:ascii="Times New Roman" w:eastAsia="Calibri" w:hAnsi="Times New Roman" w:cs="Times New Roman"/>
          <w:sz w:val="24"/>
          <w:szCs w:val="24"/>
        </w:rPr>
        <w:t xml:space="preserve">  </w:t>
      </w:r>
      <w:r w:rsidR="00785615">
        <w:rPr>
          <w:rFonts w:ascii="Times New Roman" w:eastAsia="Calibri" w:hAnsi="Times New Roman" w:cs="Times New Roman"/>
          <w:sz w:val="24"/>
          <w:szCs w:val="24"/>
        </w:rPr>
        <w:t>Bibliográfica</w:t>
      </w:r>
      <w:r w:rsidRPr="00705E2A">
        <w:rPr>
          <w:rFonts w:ascii="Times New Roman" w:eastAsia="Calibri" w:hAnsi="Times New Roman" w:cs="Times New Roman"/>
          <w:sz w:val="24"/>
          <w:szCs w:val="24"/>
        </w:rPr>
        <w:t xml:space="preserve">                                                                     </w:t>
      </w:r>
      <w:r>
        <w:rPr>
          <w:rFonts w:ascii="Times New Roman" w:hAnsi="Times New Roman" w:cs="Times New Roman"/>
          <w:sz w:val="24"/>
          <w:szCs w:val="24"/>
        </w:rPr>
        <w:t xml:space="preserve">    </w:t>
      </w:r>
      <w:r w:rsidR="00F3311E">
        <w:rPr>
          <w:rFonts w:ascii="Times New Roman" w:hAnsi="Times New Roman" w:cs="Times New Roman"/>
          <w:sz w:val="24"/>
          <w:szCs w:val="24"/>
        </w:rPr>
        <w:t xml:space="preserve">   DOI:</w:t>
      </w:r>
    </w:p>
    <w:p w14:paraId="537D1DA3" w14:textId="77777777" w:rsidR="00BF3C2F" w:rsidRDefault="00BF3C2F" w:rsidP="003C6E36">
      <w:pPr>
        <w:tabs>
          <w:tab w:val="left" w:pos="7140"/>
        </w:tabs>
        <w:spacing w:after="0" w:line="360" w:lineRule="auto"/>
        <w:jc w:val="center"/>
        <w:rPr>
          <w:rFonts w:ascii="Times New Roman" w:hAnsi="Times New Roman" w:cs="Times New Roman"/>
          <w:b/>
          <w:sz w:val="24"/>
          <w:szCs w:val="24"/>
        </w:rPr>
      </w:pPr>
    </w:p>
    <w:p w14:paraId="48A93BDB" w14:textId="77777777" w:rsidR="00F53392" w:rsidRDefault="00F3311E" w:rsidP="00F533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GORDURA SUPERFICIAL EM LEITE EM PÓ</w:t>
      </w:r>
    </w:p>
    <w:p w14:paraId="524CCA02" w14:textId="7DEEC5A2" w:rsidR="00BF3C2F" w:rsidRPr="00F53392" w:rsidRDefault="00F53392" w:rsidP="00F53392">
      <w:pPr>
        <w:spacing w:after="0" w:line="360" w:lineRule="auto"/>
        <w:jc w:val="center"/>
        <w:rPr>
          <w:rFonts w:ascii="Times New Roman" w:hAnsi="Times New Roman" w:cs="Times New Roman"/>
          <w:b/>
          <w:sz w:val="24"/>
          <w:szCs w:val="24"/>
          <w:lang w:val="en-US"/>
        </w:rPr>
      </w:pPr>
      <w:r w:rsidRPr="00F53392">
        <w:rPr>
          <w:rFonts w:ascii="Times New Roman" w:hAnsi="Times New Roman" w:cs="Times New Roman"/>
          <w:b/>
          <w:sz w:val="24"/>
          <w:szCs w:val="24"/>
          <w:lang w:val="en-US"/>
        </w:rPr>
        <w:t xml:space="preserve">FAT </w:t>
      </w:r>
      <w:r>
        <w:rPr>
          <w:rFonts w:ascii="Times New Roman" w:hAnsi="Times New Roman" w:cs="Times New Roman"/>
          <w:b/>
          <w:sz w:val="24"/>
          <w:szCs w:val="24"/>
          <w:lang w:val="en-US"/>
        </w:rPr>
        <w:t>IN THE</w:t>
      </w:r>
      <w:r w:rsidRPr="00F53392">
        <w:rPr>
          <w:rFonts w:ascii="Times New Roman" w:hAnsi="Times New Roman" w:cs="Times New Roman"/>
          <w:b/>
          <w:sz w:val="24"/>
          <w:szCs w:val="24"/>
          <w:lang w:val="en-US"/>
        </w:rPr>
        <w:t xml:space="preserve"> </w:t>
      </w:r>
      <w:r w:rsidR="006A0514" w:rsidRPr="00F53392">
        <w:rPr>
          <w:rFonts w:ascii="Times New Roman" w:hAnsi="Times New Roman" w:cs="Times New Roman"/>
          <w:b/>
          <w:sz w:val="24"/>
          <w:szCs w:val="24"/>
          <w:lang w:val="en-US"/>
        </w:rPr>
        <w:t>MILK POWDER</w:t>
      </w:r>
      <w:r w:rsidRPr="00F53392">
        <w:rPr>
          <w:rFonts w:ascii="Times New Roman" w:hAnsi="Times New Roman" w:cs="Times New Roman"/>
          <w:b/>
          <w:sz w:val="24"/>
          <w:szCs w:val="24"/>
          <w:lang w:val="en-US"/>
        </w:rPr>
        <w:t xml:space="preserve"> S</w:t>
      </w:r>
      <w:r>
        <w:rPr>
          <w:rFonts w:ascii="Times New Roman" w:hAnsi="Times New Roman" w:cs="Times New Roman"/>
          <w:b/>
          <w:sz w:val="24"/>
          <w:szCs w:val="24"/>
          <w:lang w:val="en-US"/>
        </w:rPr>
        <w:t>URFACE</w:t>
      </w:r>
    </w:p>
    <w:p w14:paraId="53A131F4" w14:textId="77777777" w:rsidR="00B8099F" w:rsidRPr="00F53392" w:rsidRDefault="00B8099F" w:rsidP="003C6E36">
      <w:pPr>
        <w:tabs>
          <w:tab w:val="left" w:pos="7140"/>
        </w:tabs>
        <w:spacing w:after="0" w:line="360" w:lineRule="auto"/>
        <w:jc w:val="center"/>
        <w:rPr>
          <w:rFonts w:ascii="Times New Roman" w:hAnsi="Times New Roman" w:cs="Times New Roman"/>
          <w:i/>
          <w:sz w:val="24"/>
          <w:szCs w:val="24"/>
          <w:lang w:val="en-US"/>
        </w:rPr>
      </w:pPr>
    </w:p>
    <w:p w14:paraId="66EEA2A3" w14:textId="683B2B22" w:rsidR="00BF3C2F" w:rsidRPr="00BF3C2F" w:rsidRDefault="007D734D" w:rsidP="003C6E36">
      <w:pPr>
        <w:tabs>
          <w:tab w:val="left" w:pos="7140"/>
        </w:tabs>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Louise Bergamin Athayde de Souza</w:t>
      </w:r>
      <w:r w:rsidR="00BF3C2F" w:rsidRPr="00BF3C2F">
        <w:rPr>
          <w:rFonts w:ascii="Times New Roman" w:hAnsi="Times New Roman" w:cs="Times New Roman"/>
          <w:i/>
          <w:sz w:val="24"/>
          <w:szCs w:val="24"/>
        </w:rPr>
        <w:t>¹</w:t>
      </w:r>
      <w:r w:rsidR="00BF3C2F">
        <w:rPr>
          <w:rFonts w:ascii="Times New Roman" w:hAnsi="Times New Roman" w:cs="Times New Roman"/>
          <w:i/>
          <w:sz w:val="24"/>
          <w:szCs w:val="24"/>
        </w:rPr>
        <w:t xml:space="preserve">; </w:t>
      </w:r>
      <w:r>
        <w:rPr>
          <w:rFonts w:ascii="Times New Roman" w:hAnsi="Times New Roman" w:cs="Times New Roman"/>
          <w:i/>
          <w:sz w:val="24"/>
          <w:szCs w:val="24"/>
        </w:rPr>
        <w:t>Gabriel</w:t>
      </w:r>
      <w:r w:rsidR="006A0514">
        <w:rPr>
          <w:rFonts w:ascii="Times New Roman" w:hAnsi="Times New Roman" w:cs="Times New Roman"/>
          <w:i/>
          <w:sz w:val="24"/>
          <w:szCs w:val="24"/>
        </w:rPr>
        <w:t xml:space="preserve"> Gama Netto</w:t>
      </w:r>
      <w:r w:rsidR="00BF3C2F" w:rsidRPr="00BF3C2F">
        <w:rPr>
          <w:rFonts w:ascii="Times New Roman" w:hAnsi="Times New Roman" w:cs="Times New Roman"/>
          <w:i/>
          <w:sz w:val="24"/>
          <w:szCs w:val="24"/>
        </w:rPr>
        <w:t>¹</w:t>
      </w:r>
      <w:r w:rsidR="00BF3C2F">
        <w:rPr>
          <w:rFonts w:ascii="Times New Roman" w:hAnsi="Times New Roman" w:cs="Times New Roman"/>
          <w:i/>
          <w:sz w:val="24"/>
          <w:szCs w:val="24"/>
        </w:rPr>
        <w:t xml:space="preserve">; </w:t>
      </w:r>
      <w:r>
        <w:rPr>
          <w:rFonts w:ascii="Times New Roman" w:hAnsi="Times New Roman" w:cs="Times New Roman"/>
          <w:i/>
          <w:sz w:val="24"/>
          <w:szCs w:val="24"/>
        </w:rPr>
        <w:t>Karin</w:t>
      </w:r>
      <w:r w:rsidR="00B81E70">
        <w:rPr>
          <w:rFonts w:ascii="Times New Roman" w:hAnsi="Times New Roman" w:cs="Times New Roman"/>
          <w:i/>
          <w:sz w:val="24"/>
          <w:szCs w:val="24"/>
        </w:rPr>
        <w:t>a Coelho Moreira da Silva</w:t>
      </w:r>
      <w:r w:rsidR="00BF3C2F" w:rsidRPr="00BF3C2F">
        <w:rPr>
          <w:rFonts w:ascii="Times New Roman" w:hAnsi="Times New Roman" w:cs="Times New Roman"/>
          <w:i/>
          <w:sz w:val="24"/>
          <w:szCs w:val="24"/>
        </w:rPr>
        <w:t>¹</w:t>
      </w:r>
      <w:r w:rsidR="00BF3C2F">
        <w:rPr>
          <w:rFonts w:ascii="Times New Roman" w:hAnsi="Times New Roman" w:cs="Times New Roman"/>
          <w:i/>
          <w:sz w:val="24"/>
          <w:szCs w:val="24"/>
        </w:rPr>
        <w:t>;</w:t>
      </w:r>
      <w:r w:rsidR="00BC14E1">
        <w:rPr>
          <w:rFonts w:ascii="Times New Roman" w:hAnsi="Times New Roman" w:cs="Times New Roman"/>
          <w:i/>
          <w:sz w:val="24"/>
          <w:szCs w:val="24"/>
        </w:rPr>
        <w:t xml:space="preserve"> </w:t>
      </w:r>
      <w:r w:rsidR="00BC14E1" w:rsidRPr="002742AB">
        <w:rPr>
          <w:rFonts w:ascii="Times New Roman" w:hAnsi="Times New Roman" w:cs="Times New Roman"/>
          <w:i/>
          <w:sz w:val="24"/>
          <w:szCs w:val="24"/>
        </w:rPr>
        <w:t>Rodrigo Stephani</w:t>
      </w:r>
      <w:r w:rsidR="002742AB" w:rsidRPr="002742AB">
        <w:rPr>
          <w:rFonts w:ascii="Times New Roman" w:hAnsi="Times New Roman" w:cs="Times New Roman"/>
          <w:sz w:val="24"/>
          <w:szCs w:val="24"/>
          <w:vertAlign w:val="superscript"/>
        </w:rPr>
        <w:t>2</w:t>
      </w:r>
      <w:r w:rsidR="002742AB" w:rsidRPr="002742AB">
        <w:rPr>
          <w:rFonts w:ascii="Times New Roman" w:hAnsi="Times New Roman" w:cs="Times New Roman"/>
          <w:sz w:val="24"/>
          <w:szCs w:val="24"/>
        </w:rPr>
        <w:t>;</w:t>
      </w:r>
      <w:r w:rsidR="00BF3C2F">
        <w:rPr>
          <w:rFonts w:ascii="Times New Roman" w:hAnsi="Times New Roman" w:cs="Times New Roman"/>
          <w:i/>
          <w:sz w:val="24"/>
          <w:szCs w:val="24"/>
        </w:rPr>
        <w:t xml:space="preserve"> </w:t>
      </w:r>
      <w:r w:rsidR="00BF3C2F" w:rsidRPr="00BF3C2F">
        <w:rPr>
          <w:rFonts w:ascii="Times New Roman" w:hAnsi="Times New Roman" w:cs="Times New Roman"/>
          <w:i/>
          <w:sz w:val="24"/>
          <w:szCs w:val="24"/>
        </w:rPr>
        <w:t xml:space="preserve">Antônio Fernandes </w:t>
      </w:r>
      <w:r w:rsidR="00BF3C2F">
        <w:rPr>
          <w:rFonts w:ascii="Times New Roman" w:hAnsi="Times New Roman" w:cs="Times New Roman"/>
          <w:i/>
          <w:sz w:val="24"/>
          <w:szCs w:val="24"/>
        </w:rPr>
        <w:t>d</w:t>
      </w:r>
      <w:r w:rsidR="00BF3C2F" w:rsidRPr="00BF3C2F">
        <w:rPr>
          <w:rFonts w:ascii="Times New Roman" w:hAnsi="Times New Roman" w:cs="Times New Roman"/>
          <w:i/>
          <w:sz w:val="24"/>
          <w:szCs w:val="24"/>
        </w:rPr>
        <w:t>e Carvalho¹</w:t>
      </w:r>
      <w:r w:rsidR="00BF3C2F">
        <w:rPr>
          <w:rFonts w:ascii="Times New Roman" w:hAnsi="Times New Roman" w:cs="Times New Roman"/>
          <w:i/>
          <w:sz w:val="24"/>
          <w:szCs w:val="24"/>
        </w:rPr>
        <w:t xml:space="preserve">; </w:t>
      </w:r>
      <w:r w:rsidR="00262337">
        <w:rPr>
          <w:rFonts w:ascii="Times New Roman" w:hAnsi="Times New Roman" w:cs="Times New Roman"/>
          <w:i/>
          <w:sz w:val="24"/>
          <w:szCs w:val="24"/>
        </w:rPr>
        <w:t>Ítalo Tuler Perrone</w:t>
      </w:r>
      <w:r w:rsidR="00A4663F">
        <w:rPr>
          <w:rFonts w:ascii="Times New Roman" w:hAnsi="Times New Roman" w:cs="Times New Roman"/>
          <w:i/>
          <w:sz w:val="24"/>
          <w:szCs w:val="24"/>
          <w:vertAlign w:val="superscript"/>
        </w:rPr>
        <w:t>3</w:t>
      </w:r>
      <w:r w:rsidR="00BF3C2F">
        <w:rPr>
          <w:rFonts w:ascii="Times New Roman" w:hAnsi="Times New Roman" w:cs="Times New Roman"/>
          <w:i/>
          <w:sz w:val="24"/>
          <w:szCs w:val="24"/>
          <w:vertAlign w:val="superscript"/>
        </w:rPr>
        <w:t>*</w:t>
      </w:r>
    </w:p>
    <w:p w14:paraId="71F42C58" w14:textId="4F7091D4" w:rsidR="007E4A0A" w:rsidRDefault="007E4A0A" w:rsidP="007E4A0A">
      <w:pPr>
        <w:pStyle w:val="font8"/>
        <w:spacing w:before="0" w:beforeAutospacing="0" w:after="0" w:afterAutospacing="0"/>
        <w:ind w:right="360"/>
        <w:jc w:val="both"/>
        <w:rPr>
          <w:lang w:val="pt-BR"/>
        </w:rPr>
      </w:pPr>
      <w:r w:rsidRPr="007E4A0A">
        <w:rPr>
          <w:vertAlign w:val="superscript"/>
          <w:lang w:val="pt-BR"/>
        </w:rPr>
        <w:t>1</w:t>
      </w:r>
      <w:r w:rsidRPr="00CF09C2">
        <w:rPr>
          <w:lang w:val="pt-BR"/>
        </w:rPr>
        <w:t>Universidade Federal de Viçosa</w:t>
      </w:r>
      <w:r>
        <w:rPr>
          <w:lang w:val="pt-BR"/>
        </w:rPr>
        <w:t xml:space="preserve">, </w:t>
      </w:r>
      <w:r w:rsidRPr="005A3591">
        <w:rPr>
          <w:rFonts w:eastAsia="DejaVu Sans"/>
          <w:color w:val="00000A"/>
          <w:lang w:val="pt-BR"/>
        </w:rPr>
        <w:t>Departamento de Tecnologia de Alimentos (DTA)</w:t>
      </w:r>
      <w:r>
        <w:rPr>
          <w:rFonts w:eastAsia="DejaVu Sans"/>
          <w:color w:val="00000A"/>
          <w:lang w:val="pt-BR"/>
        </w:rPr>
        <w:t>,</w:t>
      </w:r>
      <w:r w:rsidRPr="005A3591">
        <w:rPr>
          <w:rFonts w:eastAsia="DejaVu Sans"/>
          <w:color w:val="00000A"/>
          <w:lang w:val="pt-BR"/>
        </w:rPr>
        <w:t xml:space="preserve"> INOVALEITE</w:t>
      </w:r>
      <w:r>
        <w:rPr>
          <w:rFonts w:eastAsia="DejaVu Sans"/>
          <w:color w:val="00000A"/>
          <w:lang w:val="pt-BR"/>
        </w:rPr>
        <w:t>, Viçosa, MG, Brasil.</w:t>
      </w:r>
    </w:p>
    <w:p w14:paraId="62FDB573" w14:textId="32521A84" w:rsidR="00A4663F" w:rsidRPr="00A4663F" w:rsidRDefault="00A4663F" w:rsidP="007E4A0A">
      <w:pPr>
        <w:pStyle w:val="font8"/>
        <w:spacing w:before="0" w:beforeAutospacing="0" w:after="0" w:afterAutospacing="0"/>
        <w:jc w:val="both"/>
        <w:rPr>
          <w:lang w:val="pt-BR"/>
        </w:rPr>
      </w:pPr>
      <w:r w:rsidRPr="007E4A0A">
        <w:rPr>
          <w:vertAlign w:val="superscript"/>
          <w:lang w:val="pt-BR"/>
        </w:rPr>
        <w:t>2</w:t>
      </w:r>
      <w:r w:rsidRPr="00A4663F">
        <w:rPr>
          <w:lang w:val="pt-BR"/>
        </w:rPr>
        <w:t xml:space="preserve"> </w:t>
      </w:r>
      <w:r w:rsidRPr="00CF09C2">
        <w:rPr>
          <w:lang w:val="pt-BR"/>
        </w:rPr>
        <w:t>Universidade Federal de Juiz de Fora</w:t>
      </w:r>
      <w:r>
        <w:rPr>
          <w:lang w:val="pt-BR"/>
        </w:rPr>
        <w:t>,</w:t>
      </w:r>
      <w:r w:rsidRPr="00CF09C2">
        <w:rPr>
          <w:lang w:val="pt-BR"/>
        </w:rPr>
        <w:t xml:space="preserve"> </w:t>
      </w:r>
      <w:r w:rsidRPr="005A3591">
        <w:rPr>
          <w:rFonts w:eastAsia="DejaVu Sans"/>
          <w:color w:val="00000A"/>
          <w:lang w:val="pt-BR"/>
        </w:rPr>
        <w:t>Departamento</w:t>
      </w:r>
      <w:r>
        <w:rPr>
          <w:rFonts w:eastAsia="DejaVu Sans"/>
          <w:color w:val="00000A"/>
          <w:lang w:val="pt-BR"/>
        </w:rPr>
        <w:t xml:space="preserve"> de Química (DQ), Juiz de Fora, MG, Brasil.</w:t>
      </w:r>
    </w:p>
    <w:p w14:paraId="3F560D73" w14:textId="0E0AC13F" w:rsidR="007E4A0A" w:rsidRPr="00705E2A" w:rsidRDefault="00A4663F" w:rsidP="007E4A0A">
      <w:pPr>
        <w:pStyle w:val="font8"/>
        <w:spacing w:before="0" w:beforeAutospacing="0" w:after="0" w:afterAutospacing="0"/>
        <w:jc w:val="both"/>
        <w:rPr>
          <w:rFonts w:eastAsia="DejaVu Sans"/>
          <w:lang w:val="pt-BR"/>
        </w:rPr>
      </w:pPr>
      <w:r>
        <w:rPr>
          <w:vertAlign w:val="superscript"/>
          <w:lang w:val="pt-BR"/>
        </w:rPr>
        <w:t>3</w:t>
      </w:r>
      <w:r w:rsidR="007E4A0A">
        <w:rPr>
          <w:vertAlign w:val="superscript"/>
          <w:lang w:val="pt-BR"/>
        </w:rPr>
        <w:t>*</w:t>
      </w:r>
      <w:r w:rsidR="007E4A0A" w:rsidRPr="00CF09C2">
        <w:rPr>
          <w:lang w:val="pt-BR"/>
        </w:rPr>
        <w:t>Universidade Federal de Juiz de Fora</w:t>
      </w:r>
      <w:r w:rsidR="007E4A0A">
        <w:rPr>
          <w:lang w:val="pt-BR"/>
        </w:rPr>
        <w:t>,</w:t>
      </w:r>
      <w:r w:rsidR="007E4A0A" w:rsidRPr="00CF09C2">
        <w:rPr>
          <w:lang w:val="pt-BR"/>
        </w:rPr>
        <w:t xml:space="preserve"> </w:t>
      </w:r>
      <w:r w:rsidR="007E4A0A" w:rsidRPr="005A3591">
        <w:rPr>
          <w:rFonts w:eastAsia="DejaVu Sans"/>
          <w:color w:val="00000A"/>
          <w:lang w:val="pt-BR"/>
        </w:rPr>
        <w:t xml:space="preserve">Departamento de </w:t>
      </w:r>
      <w:r w:rsidR="007E4A0A">
        <w:rPr>
          <w:rFonts w:eastAsia="DejaVu Sans"/>
          <w:color w:val="00000A"/>
          <w:lang w:val="pt-BR"/>
        </w:rPr>
        <w:t>Ciências Farmacêuticas, Faculdade de Farmácia</w:t>
      </w:r>
      <w:r w:rsidR="007E4A0A" w:rsidRPr="005A3591">
        <w:rPr>
          <w:rFonts w:eastAsia="DejaVu Sans"/>
          <w:color w:val="00000A"/>
          <w:lang w:val="pt-BR"/>
        </w:rPr>
        <w:t>.</w:t>
      </w:r>
      <w:r w:rsidR="007E4A0A">
        <w:rPr>
          <w:rFonts w:eastAsia="DejaVu Sans"/>
          <w:color w:val="00000A"/>
          <w:lang w:val="pt-BR"/>
        </w:rPr>
        <w:t xml:space="preserve"> </w:t>
      </w:r>
      <w:r w:rsidR="007E4A0A" w:rsidRPr="00BA5F97">
        <w:rPr>
          <w:lang w:val="pt-BR"/>
        </w:rPr>
        <w:t>Campus Universitário</w:t>
      </w:r>
      <w:r w:rsidR="007E4A0A">
        <w:rPr>
          <w:lang w:val="pt-BR"/>
        </w:rPr>
        <w:t>,</w:t>
      </w:r>
      <w:r w:rsidR="007E4A0A" w:rsidRPr="00BA5F97">
        <w:rPr>
          <w:lang w:val="pt-BR"/>
        </w:rPr>
        <w:t xml:space="preserve"> Rua José Lourenço Kelmer, s/n</w:t>
      </w:r>
      <w:r w:rsidR="007E4A0A">
        <w:rPr>
          <w:lang w:val="pt-BR"/>
        </w:rPr>
        <w:t>,</w:t>
      </w:r>
      <w:r w:rsidR="007E4A0A" w:rsidRPr="00BA5F97">
        <w:rPr>
          <w:lang w:val="pt-BR"/>
        </w:rPr>
        <w:t xml:space="preserve"> São Pedro, </w:t>
      </w:r>
      <w:r w:rsidR="007E4A0A" w:rsidRPr="005A3591">
        <w:rPr>
          <w:rFonts w:eastAsia="DejaVu Sans"/>
          <w:color w:val="00000A"/>
          <w:lang w:val="pt-BR"/>
        </w:rPr>
        <w:t>36</w:t>
      </w:r>
      <w:r w:rsidR="007E4A0A">
        <w:rPr>
          <w:rFonts w:eastAsia="DejaVu Sans"/>
          <w:color w:val="00000A"/>
          <w:lang w:val="pt-BR"/>
        </w:rPr>
        <w:t>036-330, Juiz de Fora, MG, Bras</w:t>
      </w:r>
      <w:r w:rsidR="007E4A0A" w:rsidRPr="005A3591">
        <w:rPr>
          <w:rFonts w:eastAsia="DejaVu Sans"/>
          <w:color w:val="00000A"/>
          <w:lang w:val="pt-BR"/>
        </w:rPr>
        <w:t xml:space="preserve">il. </w:t>
      </w:r>
      <w:r w:rsidR="007E4A0A">
        <w:rPr>
          <w:rFonts w:eastAsia="DejaVu Sans"/>
          <w:color w:val="00000A"/>
          <w:lang w:val="pt-BR"/>
        </w:rPr>
        <w:t xml:space="preserve">E-mail: </w:t>
      </w:r>
      <w:hyperlink r:id="rId8" w:history="1">
        <w:r w:rsidR="007E4A0A" w:rsidRPr="00705E2A">
          <w:rPr>
            <w:rStyle w:val="Hyperlink"/>
            <w:rFonts w:eastAsia="DejaVu Sans"/>
            <w:color w:val="auto"/>
            <w:u w:val="none"/>
            <w:lang w:val="pt-BR"/>
          </w:rPr>
          <w:t>italotulerperrone@gmail.com</w:t>
        </w:r>
      </w:hyperlink>
    </w:p>
    <w:p w14:paraId="637E597E" w14:textId="4DECB02E" w:rsidR="007E4A0A" w:rsidRDefault="007E4A0A" w:rsidP="003C6E36">
      <w:pPr>
        <w:tabs>
          <w:tab w:val="left" w:pos="7140"/>
        </w:tabs>
        <w:spacing w:after="0" w:line="360" w:lineRule="auto"/>
        <w:jc w:val="center"/>
        <w:rPr>
          <w:rFonts w:ascii="Times New Roman" w:hAnsi="Times New Roman" w:cs="Times New Roman"/>
          <w:b/>
          <w:sz w:val="24"/>
          <w:szCs w:val="24"/>
        </w:rPr>
      </w:pPr>
    </w:p>
    <w:p w14:paraId="62D7C5AC" w14:textId="0D79EF3E" w:rsidR="0069446B" w:rsidRDefault="005161B3" w:rsidP="003C6E36">
      <w:pPr>
        <w:spacing w:after="0" w:line="360" w:lineRule="auto"/>
        <w:jc w:val="center"/>
        <w:rPr>
          <w:rFonts w:ascii="Times New Roman" w:hAnsi="Times New Roman" w:cs="Times New Roman"/>
          <w:b/>
          <w:sz w:val="24"/>
          <w:szCs w:val="24"/>
        </w:rPr>
      </w:pPr>
      <w:r w:rsidRPr="0005671A">
        <w:rPr>
          <w:rFonts w:ascii="Times New Roman" w:hAnsi="Times New Roman" w:cs="Times New Roman"/>
          <w:b/>
          <w:sz w:val="24"/>
          <w:szCs w:val="24"/>
        </w:rPr>
        <w:t>RESUMO</w:t>
      </w:r>
    </w:p>
    <w:p w14:paraId="382D4029" w14:textId="732A2AF8" w:rsidR="00F3311E" w:rsidRDefault="00C53027" w:rsidP="003C6E3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 leite</w:t>
      </w:r>
      <w:r w:rsidR="000B1E40">
        <w:rPr>
          <w:rFonts w:ascii="Times New Roman" w:hAnsi="Times New Roman" w:cs="Times New Roman"/>
          <w:sz w:val="24"/>
          <w:szCs w:val="24"/>
        </w:rPr>
        <w:t xml:space="preserve"> em pó é um</w:t>
      </w:r>
      <w:r w:rsidR="00C15FEE">
        <w:rPr>
          <w:rFonts w:ascii="Times New Roman" w:hAnsi="Times New Roman" w:cs="Times New Roman"/>
          <w:sz w:val="24"/>
          <w:szCs w:val="24"/>
        </w:rPr>
        <w:t xml:space="preserve"> produto altamente versátil, </w:t>
      </w:r>
      <w:r w:rsidR="00812CCE">
        <w:rPr>
          <w:rFonts w:ascii="Times New Roman" w:hAnsi="Times New Roman" w:cs="Times New Roman"/>
          <w:sz w:val="24"/>
          <w:szCs w:val="24"/>
        </w:rPr>
        <w:t xml:space="preserve">fabricado geralmente por meio da técnica de spray drying, que </w:t>
      </w:r>
      <w:r w:rsidR="00554DC2">
        <w:rPr>
          <w:rFonts w:ascii="Times New Roman" w:hAnsi="Times New Roman" w:cs="Times New Roman"/>
          <w:sz w:val="24"/>
          <w:szCs w:val="24"/>
        </w:rPr>
        <w:t>consiste</w:t>
      </w:r>
      <w:r w:rsidR="00812CCE">
        <w:rPr>
          <w:rFonts w:ascii="Times New Roman" w:hAnsi="Times New Roman" w:cs="Times New Roman"/>
          <w:sz w:val="24"/>
          <w:szCs w:val="24"/>
        </w:rPr>
        <w:t xml:space="preserve"> na remoção de grande parte da água expondo o produto a uma corrente de ar quente. Esse produto </w:t>
      </w:r>
      <w:r>
        <w:rPr>
          <w:rFonts w:ascii="Times New Roman" w:hAnsi="Times New Roman" w:cs="Times New Roman"/>
          <w:sz w:val="24"/>
          <w:szCs w:val="24"/>
        </w:rPr>
        <w:t>possui prazo</w:t>
      </w:r>
      <w:r w:rsidR="000B1E40">
        <w:rPr>
          <w:rFonts w:ascii="Times New Roman" w:hAnsi="Times New Roman" w:cs="Times New Roman"/>
          <w:sz w:val="24"/>
          <w:szCs w:val="24"/>
        </w:rPr>
        <w:t xml:space="preserve"> de validade</w:t>
      </w:r>
      <w:r w:rsidR="00C15FEE">
        <w:rPr>
          <w:rFonts w:ascii="Times New Roman" w:hAnsi="Times New Roman" w:cs="Times New Roman"/>
          <w:sz w:val="24"/>
          <w:szCs w:val="24"/>
        </w:rPr>
        <w:t xml:space="preserve"> superior ao </w:t>
      </w:r>
      <w:r w:rsidR="00812CCE">
        <w:rPr>
          <w:rFonts w:ascii="Times New Roman" w:hAnsi="Times New Roman" w:cs="Times New Roman"/>
          <w:sz w:val="24"/>
          <w:szCs w:val="24"/>
        </w:rPr>
        <w:t xml:space="preserve">leite in natura e </w:t>
      </w:r>
      <w:r w:rsidR="00C15FEE">
        <w:rPr>
          <w:rFonts w:ascii="Times New Roman" w:hAnsi="Times New Roman" w:cs="Times New Roman"/>
          <w:sz w:val="24"/>
          <w:szCs w:val="24"/>
        </w:rPr>
        <w:t>oferece diversas comodid</w:t>
      </w:r>
      <w:r w:rsidR="00812CCE">
        <w:rPr>
          <w:rFonts w:ascii="Times New Roman" w:hAnsi="Times New Roman" w:cs="Times New Roman"/>
          <w:sz w:val="24"/>
          <w:szCs w:val="24"/>
        </w:rPr>
        <w:t>ade</w:t>
      </w:r>
      <w:r w:rsidR="00C15FEE">
        <w:rPr>
          <w:rFonts w:ascii="Times New Roman" w:hAnsi="Times New Roman" w:cs="Times New Roman"/>
          <w:sz w:val="24"/>
          <w:szCs w:val="24"/>
        </w:rPr>
        <w:t>s</w:t>
      </w:r>
      <w:r w:rsidR="00812CCE">
        <w:rPr>
          <w:rFonts w:ascii="Times New Roman" w:hAnsi="Times New Roman" w:cs="Times New Roman"/>
          <w:sz w:val="24"/>
          <w:szCs w:val="24"/>
        </w:rPr>
        <w:t>, como maior estabilidade microbiológica e química e condições de armazenamento menos restritas</w:t>
      </w:r>
      <w:r w:rsidR="00C15FEE">
        <w:rPr>
          <w:rFonts w:ascii="Times New Roman" w:hAnsi="Times New Roman" w:cs="Times New Roman"/>
          <w:sz w:val="24"/>
          <w:szCs w:val="24"/>
        </w:rPr>
        <w:t>. E</w:t>
      </w:r>
      <w:r w:rsidR="000B1E40">
        <w:rPr>
          <w:rFonts w:ascii="Times New Roman" w:hAnsi="Times New Roman" w:cs="Times New Roman"/>
          <w:sz w:val="24"/>
          <w:szCs w:val="24"/>
        </w:rPr>
        <w:t xml:space="preserve">ntretanto um </w:t>
      </w:r>
      <w:r w:rsidR="00554DC2">
        <w:rPr>
          <w:rFonts w:ascii="Times New Roman" w:hAnsi="Times New Roman" w:cs="Times New Roman"/>
          <w:sz w:val="24"/>
          <w:szCs w:val="24"/>
        </w:rPr>
        <w:t xml:space="preserve">grande </w:t>
      </w:r>
      <w:r w:rsidR="00F3311E">
        <w:rPr>
          <w:rFonts w:ascii="Times New Roman" w:hAnsi="Times New Roman" w:cs="Times New Roman"/>
          <w:sz w:val="24"/>
          <w:szCs w:val="24"/>
        </w:rPr>
        <w:t xml:space="preserve">acúmulo de </w:t>
      </w:r>
      <w:r>
        <w:rPr>
          <w:rFonts w:ascii="Times New Roman" w:hAnsi="Times New Roman" w:cs="Times New Roman"/>
          <w:sz w:val="24"/>
          <w:szCs w:val="24"/>
        </w:rPr>
        <w:t>gordura na</w:t>
      </w:r>
      <w:r w:rsidR="00F3311E">
        <w:rPr>
          <w:rFonts w:ascii="Times New Roman" w:hAnsi="Times New Roman" w:cs="Times New Roman"/>
          <w:sz w:val="24"/>
          <w:szCs w:val="24"/>
        </w:rPr>
        <w:t xml:space="preserve"> superfície de</w:t>
      </w:r>
      <w:r w:rsidR="000B1E40">
        <w:rPr>
          <w:rFonts w:ascii="Times New Roman" w:hAnsi="Times New Roman" w:cs="Times New Roman"/>
          <w:sz w:val="24"/>
          <w:szCs w:val="24"/>
        </w:rPr>
        <w:t>sses</w:t>
      </w:r>
      <w:r w:rsidR="00F3311E">
        <w:rPr>
          <w:rFonts w:ascii="Times New Roman" w:hAnsi="Times New Roman" w:cs="Times New Roman"/>
          <w:sz w:val="24"/>
          <w:szCs w:val="24"/>
        </w:rPr>
        <w:t xml:space="preserve"> pós</w:t>
      </w:r>
      <w:r w:rsidR="000B1E40">
        <w:rPr>
          <w:rFonts w:ascii="Times New Roman" w:hAnsi="Times New Roman" w:cs="Times New Roman"/>
          <w:sz w:val="24"/>
          <w:szCs w:val="24"/>
        </w:rPr>
        <w:t xml:space="preserve"> tem sido</w:t>
      </w:r>
      <w:r w:rsidR="00C15FEE">
        <w:rPr>
          <w:rFonts w:ascii="Times New Roman" w:hAnsi="Times New Roman" w:cs="Times New Roman"/>
          <w:sz w:val="24"/>
          <w:szCs w:val="24"/>
        </w:rPr>
        <w:t xml:space="preserve"> vastamente</w:t>
      </w:r>
      <w:r w:rsidR="000B1E40">
        <w:rPr>
          <w:rFonts w:ascii="Times New Roman" w:hAnsi="Times New Roman" w:cs="Times New Roman"/>
          <w:sz w:val="24"/>
          <w:szCs w:val="24"/>
        </w:rPr>
        <w:t xml:space="preserve"> </w:t>
      </w:r>
      <w:r w:rsidR="00E14839">
        <w:rPr>
          <w:rFonts w:ascii="Times New Roman" w:hAnsi="Times New Roman" w:cs="Times New Roman"/>
          <w:sz w:val="24"/>
          <w:szCs w:val="24"/>
        </w:rPr>
        <w:t>documentado</w:t>
      </w:r>
      <w:r w:rsidR="00812CCE">
        <w:rPr>
          <w:rFonts w:ascii="Times New Roman" w:hAnsi="Times New Roman" w:cs="Times New Roman"/>
          <w:sz w:val="24"/>
          <w:szCs w:val="24"/>
        </w:rPr>
        <w:t xml:space="preserve"> em diversas partes do mundo</w:t>
      </w:r>
      <w:r w:rsidR="000B1E40">
        <w:rPr>
          <w:rFonts w:ascii="Times New Roman" w:hAnsi="Times New Roman" w:cs="Times New Roman"/>
          <w:sz w:val="24"/>
          <w:szCs w:val="24"/>
        </w:rPr>
        <w:t>.</w:t>
      </w:r>
      <w:r w:rsidR="00554DC2">
        <w:rPr>
          <w:rFonts w:ascii="Times New Roman" w:hAnsi="Times New Roman" w:cs="Times New Roman"/>
          <w:sz w:val="24"/>
          <w:szCs w:val="24"/>
        </w:rPr>
        <w:t xml:space="preserve"> Frações dessa</w:t>
      </w:r>
      <w:r w:rsidR="000B1E40">
        <w:rPr>
          <w:rFonts w:ascii="Times New Roman" w:hAnsi="Times New Roman" w:cs="Times New Roman"/>
          <w:sz w:val="24"/>
          <w:szCs w:val="24"/>
        </w:rPr>
        <w:t xml:space="preserve"> gordura</w:t>
      </w:r>
      <w:r w:rsidR="00554DC2">
        <w:rPr>
          <w:rFonts w:ascii="Times New Roman" w:hAnsi="Times New Roman" w:cs="Times New Roman"/>
          <w:sz w:val="24"/>
          <w:szCs w:val="24"/>
        </w:rPr>
        <w:t xml:space="preserve"> que se apresenta na camada externa do </w:t>
      </w:r>
      <w:r>
        <w:rPr>
          <w:rFonts w:ascii="Times New Roman" w:hAnsi="Times New Roman" w:cs="Times New Roman"/>
          <w:sz w:val="24"/>
          <w:szCs w:val="24"/>
        </w:rPr>
        <w:t>pó est</w:t>
      </w:r>
      <w:r w:rsidR="006A0514">
        <w:rPr>
          <w:rFonts w:ascii="Times New Roman" w:hAnsi="Times New Roman" w:cs="Times New Roman"/>
          <w:sz w:val="24"/>
          <w:szCs w:val="24"/>
        </w:rPr>
        <w:t xml:space="preserve">ão </w:t>
      </w:r>
      <w:r w:rsidR="00554DC2">
        <w:rPr>
          <w:rFonts w:ascii="Times New Roman" w:hAnsi="Times New Roman" w:cs="Times New Roman"/>
          <w:sz w:val="24"/>
          <w:szCs w:val="24"/>
        </w:rPr>
        <w:t>na forma livre sendo associada</w:t>
      </w:r>
      <w:r w:rsidR="006A0514">
        <w:rPr>
          <w:rFonts w:ascii="Times New Roman" w:hAnsi="Times New Roman" w:cs="Times New Roman"/>
          <w:sz w:val="24"/>
          <w:szCs w:val="24"/>
        </w:rPr>
        <w:t>s</w:t>
      </w:r>
      <w:r w:rsidR="00BC55D5">
        <w:rPr>
          <w:rFonts w:ascii="Times New Roman" w:hAnsi="Times New Roman" w:cs="Times New Roman"/>
          <w:sz w:val="24"/>
          <w:szCs w:val="24"/>
        </w:rPr>
        <w:t xml:space="preserve"> a características indesejáveis </w:t>
      </w:r>
      <w:r w:rsidR="000B1E40">
        <w:rPr>
          <w:rFonts w:ascii="Times New Roman" w:hAnsi="Times New Roman" w:cs="Times New Roman"/>
          <w:sz w:val="24"/>
          <w:szCs w:val="24"/>
        </w:rPr>
        <w:t>do produto</w:t>
      </w:r>
      <w:r w:rsidR="00C15FEE">
        <w:rPr>
          <w:rFonts w:ascii="Times New Roman" w:hAnsi="Times New Roman" w:cs="Times New Roman"/>
          <w:sz w:val="24"/>
          <w:szCs w:val="24"/>
        </w:rPr>
        <w:t>, com</w:t>
      </w:r>
      <w:r w:rsidR="00554DC2">
        <w:rPr>
          <w:rFonts w:ascii="Times New Roman" w:hAnsi="Times New Roman" w:cs="Times New Roman"/>
          <w:sz w:val="24"/>
          <w:szCs w:val="24"/>
        </w:rPr>
        <w:t>o dificuldades de reidratação,</w:t>
      </w:r>
      <w:r w:rsidR="00C15FEE">
        <w:rPr>
          <w:rFonts w:ascii="Times New Roman" w:hAnsi="Times New Roman" w:cs="Times New Roman"/>
          <w:sz w:val="24"/>
          <w:szCs w:val="24"/>
        </w:rPr>
        <w:t xml:space="preserve"> oxidação de lipídios</w:t>
      </w:r>
      <w:r w:rsidR="00812CCE">
        <w:rPr>
          <w:rFonts w:ascii="Times New Roman" w:hAnsi="Times New Roman" w:cs="Times New Roman"/>
          <w:sz w:val="24"/>
          <w:szCs w:val="24"/>
        </w:rPr>
        <w:t xml:space="preserve">, </w:t>
      </w:r>
      <w:r w:rsidR="00554DC2">
        <w:rPr>
          <w:rFonts w:ascii="Times New Roman" w:hAnsi="Times New Roman" w:cs="Times New Roman"/>
          <w:sz w:val="24"/>
          <w:szCs w:val="24"/>
        </w:rPr>
        <w:t>aumento de viscosidade</w:t>
      </w:r>
      <w:r w:rsidR="00E14839">
        <w:rPr>
          <w:rFonts w:ascii="Times New Roman" w:hAnsi="Times New Roman" w:cs="Times New Roman"/>
          <w:sz w:val="24"/>
          <w:szCs w:val="24"/>
        </w:rPr>
        <w:t xml:space="preserve"> e outros</w:t>
      </w:r>
      <w:r w:rsidR="00554DC2">
        <w:rPr>
          <w:rFonts w:ascii="Times New Roman" w:hAnsi="Times New Roman" w:cs="Times New Roman"/>
          <w:sz w:val="24"/>
          <w:szCs w:val="24"/>
        </w:rPr>
        <w:t xml:space="preserve">, </w:t>
      </w:r>
      <w:r w:rsidR="00812CCE">
        <w:rPr>
          <w:rFonts w:ascii="Times New Roman" w:hAnsi="Times New Roman" w:cs="Times New Roman"/>
          <w:sz w:val="24"/>
          <w:szCs w:val="24"/>
        </w:rPr>
        <w:t xml:space="preserve">levando a </w:t>
      </w:r>
      <w:r w:rsidR="00E14839">
        <w:rPr>
          <w:rFonts w:ascii="Times New Roman" w:hAnsi="Times New Roman" w:cs="Times New Roman"/>
          <w:sz w:val="24"/>
          <w:szCs w:val="24"/>
        </w:rPr>
        <w:t xml:space="preserve">redução </w:t>
      </w:r>
      <w:r w:rsidR="00812CCE">
        <w:rPr>
          <w:rFonts w:ascii="Times New Roman" w:hAnsi="Times New Roman" w:cs="Times New Roman"/>
          <w:sz w:val="24"/>
          <w:szCs w:val="24"/>
        </w:rPr>
        <w:t>de qualidade do produto</w:t>
      </w:r>
      <w:r w:rsidR="00C15FEE">
        <w:rPr>
          <w:rFonts w:ascii="Times New Roman" w:hAnsi="Times New Roman" w:cs="Times New Roman"/>
          <w:sz w:val="24"/>
          <w:szCs w:val="24"/>
        </w:rPr>
        <w:t xml:space="preserve">. Maneiras de </w:t>
      </w:r>
      <w:r w:rsidR="00812CCE">
        <w:rPr>
          <w:rFonts w:ascii="Times New Roman" w:hAnsi="Times New Roman" w:cs="Times New Roman"/>
          <w:sz w:val="24"/>
          <w:szCs w:val="24"/>
        </w:rPr>
        <w:t>reduzir esse teor de gordura tem sido</w:t>
      </w:r>
      <w:r w:rsidR="00C15FEE">
        <w:rPr>
          <w:rFonts w:ascii="Times New Roman" w:hAnsi="Times New Roman" w:cs="Times New Roman"/>
          <w:sz w:val="24"/>
          <w:szCs w:val="24"/>
        </w:rPr>
        <w:t xml:space="preserve"> </w:t>
      </w:r>
      <w:r>
        <w:rPr>
          <w:rFonts w:ascii="Times New Roman" w:hAnsi="Times New Roman" w:cs="Times New Roman"/>
          <w:sz w:val="24"/>
          <w:szCs w:val="24"/>
        </w:rPr>
        <w:t>buscadas</w:t>
      </w:r>
      <w:r w:rsidR="00C15FEE">
        <w:rPr>
          <w:rFonts w:ascii="Times New Roman" w:hAnsi="Times New Roman" w:cs="Times New Roman"/>
          <w:sz w:val="24"/>
          <w:szCs w:val="24"/>
        </w:rPr>
        <w:t xml:space="preserve"> para amenizar seus efeitos indesejáveis</w:t>
      </w:r>
      <w:r w:rsidR="00554DC2">
        <w:rPr>
          <w:rFonts w:ascii="Times New Roman" w:hAnsi="Times New Roman" w:cs="Times New Roman"/>
          <w:sz w:val="24"/>
          <w:szCs w:val="24"/>
        </w:rPr>
        <w:t xml:space="preserve"> e uma das formas promissoras parece ser pela estabilização da matriz láctea antes das etapas de atomização e secagem</w:t>
      </w:r>
      <w:r w:rsidR="00C15FEE">
        <w:rPr>
          <w:rFonts w:ascii="Times New Roman" w:hAnsi="Times New Roman" w:cs="Times New Roman"/>
          <w:sz w:val="24"/>
          <w:szCs w:val="24"/>
        </w:rPr>
        <w:t>. N</w:t>
      </w:r>
      <w:r w:rsidR="000B1E40">
        <w:rPr>
          <w:rFonts w:ascii="Times New Roman" w:hAnsi="Times New Roman" w:cs="Times New Roman"/>
          <w:sz w:val="24"/>
          <w:szCs w:val="24"/>
        </w:rPr>
        <w:t>essa revisão</w:t>
      </w:r>
      <w:r w:rsidR="00C15FEE">
        <w:rPr>
          <w:rFonts w:ascii="Times New Roman" w:hAnsi="Times New Roman" w:cs="Times New Roman"/>
          <w:sz w:val="24"/>
          <w:szCs w:val="24"/>
        </w:rPr>
        <w:t xml:space="preserve"> bibliográfica</w:t>
      </w:r>
      <w:r w:rsidR="000B1E40">
        <w:rPr>
          <w:rFonts w:ascii="Times New Roman" w:hAnsi="Times New Roman" w:cs="Times New Roman"/>
          <w:sz w:val="24"/>
          <w:szCs w:val="24"/>
        </w:rPr>
        <w:t xml:space="preserve"> será abordada as características d</w:t>
      </w:r>
      <w:r w:rsidR="00C15FEE">
        <w:rPr>
          <w:rFonts w:ascii="Times New Roman" w:hAnsi="Times New Roman" w:cs="Times New Roman"/>
          <w:sz w:val="24"/>
          <w:szCs w:val="24"/>
        </w:rPr>
        <w:t>o leite em pó, características da gordura, assim como ocorrência da gordura superficial</w:t>
      </w:r>
      <w:r w:rsidR="00E05574">
        <w:rPr>
          <w:rFonts w:ascii="Times New Roman" w:hAnsi="Times New Roman" w:cs="Times New Roman"/>
          <w:sz w:val="24"/>
          <w:szCs w:val="24"/>
        </w:rPr>
        <w:t>,</w:t>
      </w:r>
      <w:r w:rsidR="000B1E40">
        <w:rPr>
          <w:rFonts w:ascii="Times New Roman" w:hAnsi="Times New Roman" w:cs="Times New Roman"/>
          <w:sz w:val="24"/>
          <w:szCs w:val="24"/>
        </w:rPr>
        <w:t xml:space="preserve"> os causadores e a</w:t>
      </w:r>
      <w:r w:rsidR="00554DC2">
        <w:rPr>
          <w:rFonts w:ascii="Times New Roman" w:hAnsi="Times New Roman" w:cs="Times New Roman"/>
          <w:sz w:val="24"/>
          <w:szCs w:val="24"/>
        </w:rPr>
        <w:t>lgumas da</w:t>
      </w:r>
      <w:r w:rsidR="000B1E40">
        <w:rPr>
          <w:rFonts w:ascii="Times New Roman" w:hAnsi="Times New Roman" w:cs="Times New Roman"/>
          <w:sz w:val="24"/>
          <w:szCs w:val="24"/>
        </w:rPr>
        <w:t>s possíveis solução do problema.</w:t>
      </w:r>
    </w:p>
    <w:p w14:paraId="51339061" w14:textId="131A39F3" w:rsidR="00B8099F" w:rsidRPr="000D3843" w:rsidRDefault="00B8099F" w:rsidP="003C6E36">
      <w:pPr>
        <w:spacing w:after="0" w:line="360" w:lineRule="auto"/>
        <w:jc w:val="both"/>
        <w:rPr>
          <w:rFonts w:ascii="Times New Roman" w:hAnsi="Times New Roman" w:cs="Times New Roman"/>
          <w:sz w:val="24"/>
          <w:szCs w:val="24"/>
        </w:rPr>
      </w:pPr>
      <w:r w:rsidRPr="000D3843">
        <w:rPr>
          <w:rFonts w:ascii="Times New Roman" w:hAnsi="Times New Roman" w:cs="Times New Roman"/>
          <w:b/>
          <w:sz w:val="24"/>
          <w:szCs w:val="24"/>
        </w:rPr>
        <w:t>Palavras-chave:</w:t>
      </w:r>
      <w:r w:rsidR="00812CCE">
        <w:rPr>
          <w:rFonts w:ascii="Times New Roman" w:hAnsi="Times New Roman" w:cs="Times New Roman"/>
          <w:sz w:val="24"/>
          <w:szCs w:val="24"/>
        </w:rPr>
        <w:t xml:space="preserve"> leite em pó</w:t>
      </w:r>
      <w:r w:rsidRPr="000D3843">
        <w:rPr>
          <w:rFonts w:ascii="Times New Roman" w:hAnsi="Times New Roman" w:cs="Times New Roman"/>
          <w:sz w:val="24"/>
          <w:szCs w:val="24"/>
        </w:rPr>
        <w:t xml:space="preserve">; </w:t>
      </w:r>
      <w:r w:rsidR="00812CCE">
        <w:rPr>
          <w:rFonts w:ascii="Times New Roman" w:hAnsi="Times New Roman" w:cs="Times New Roman"/>
          <w:sz w:val="24"/>
          <w:szCs w:val="24"/>
        </w:rPr>
        <w:t>gordura livre</w:t>
      </w:r>
      <w:r w:rsidRPr="000D3843">
        <w:rPr>
          <w:rFonts w:ascii="Times New Roman" w:hAnsi="Times New Roman" w:cs="Times New Roman"/>
          <w:sz w:val="24"/>
          <w:szCs w:val="24"/>
        </w:rPr>
        <w:t>;</w:t>
      </w:r>
      <w:r w:rsidR="00812CCE">
        <w:rPr>
          <w:rFonts w:ascii="Times New Roman" w:hAnsi="Times New Roman" w:cs="Times New Roman"/>
          <w:sz w:val="24"/>
          <w:szCs w:val="24"/>
        </w:rPr>
        <w:t xml:space="preserve"> gordura superficial; pós lácteos</w:t>
      </w:r>
    </w:p>
    <w:p w14:paraId="791608E8" w14:textId="45B5544C" w:rsidR="0069446B" w:rsidRDefault="0069446B" w:rsidP="003C6E36">
      <w:pPr>
        <w:spacing w:after="0" w:line="360" w:lineRule="auto"/>
        <w:jc w:val="center"/>
        <w:rPr>
          <w:rFonts w:ascii="Times New Roman" w:hAnsi="Times New Roman" w:cs="Times New Roman"/>
          <w:b/>
          <w:sz w:val="24"/>
          <w:szCs w:val="24"/>
          <w:lang w:val="en-US"/>
        </w:rPr>
      </w:pPr>
      <w:r w:rsidRPr="003C64FB">
        <w:rPr>
          <w:rFonts w:ascii="Times New Roman" w:hAnsi="Times New Roman" w:cs="Times New Roman"/>
          <w:b/>
          <w:sz w:val="24"/>
          <w:szCs w:val="24"/>
          <w:lang w:val="en-US"/>
        </w:rPr>
        <w:t>ABSTRACT</w:t>
      </w:r>
    </w:p>
    <w:p w14:paraId="586FAFC4" w14:textId="20286A17" w:rsidR="00C90D64" w:rsidRPr="009803F2" w:rsidRDefault="00C90D64" w:rsidP="003C6E36">
      <w:pPr>
        <w:spacing w:after="0" w:line="360" w:lineRule="auto"/>
        <w:jc w:val="center"/>
        <w:rPr>
          <w:rFonts w:ascii="Times New Roman" w:hAnsi="Times New Roman" w:cs="Times New Roman"/>
          <w:sz w:val="24"/>
          <w:szCs w:val="24"/>
          <w:lang w:val="en-US"/>
        </w:rPr>
      </w:pPr>
      <w:r w:rsidRPr="009803F2">
        <w:rPr>
          <w:rFonts w:ascii="Times New Roman" w:hAnsi="Times New Roman" w:cs="Times New Roman"/>
          <w:sz w:val="24"/>
          <w:szCs w:val="24"/>
          <w:lang w:val="en-US"/>
        </w:rPr>
        <w:t xml:space="preserve">Milk powder is a highly versatile product produced by spray drying, which consists of removing water by exposing the product to a current of dry and hot air. This product has a longer shelf life than fresh milk and offers positive points, such as greater microbiological and </w:t>
      </w:r>
      <w:r w:rsidRPr="009803F2">
        <w:rPr>
          <w:rFonts w:ascii="Times New Roman" w:hAnsi="Times New Roman" w:cs="Times New Roman"/>
          <w:sz w:val="24"/>
          <w:szCs w:val="24"/>
          <w:lang w:val="en-US"/>
        </w:rPr>
        <w:lastRenderedPageBreak/>
        <w:t>chemical stability and less restricted storage conditions. However, a large migration of fat to the surface of these powders has been widely documented in several studies. Part of this fat present on the powder surface is in the free form and associated with undesirable characteristics of the product, such as rehydration difficulties, lipid oxidation, increased viscosity and others, leading to reduced product quality. Stabilizing the milk emulsition matrix before the atomization and drying steps is the best way to avoid free fat. In this bibliographic review, the characteristics of milk powder, characteristics of fat, as well as the occurrence of superficial free fat, the causes and some of the possible solutions.</w:t>
      </w:r>
    </w:p>
    <w:p w14:paraId="7F290B6B" w14:textId="7224EBF8" w:rsidR="00B8099F" w:rsidRPr="009803F2" w:rsidRDefault="00B8099F" w:rsidP="003C6E36">
      <w:pPr>
        <w:spacing w:after="0" w:line="360" w:lineRule="auto"/>
        <w:jc w:val="both"/>
        <w:rPr>
          <w:rFonts w:ascii="Times New Roman" w:hAnsi="Times New Roman" w:cs="Times New Roman"/>
          <w:b/>
          <w:sz w:val="24"/>
          <w:szCs w:val="24"/>
          <w:lang w:val="en-US"/>
        </w:rPr>
      </w:pPr>
      <w:r w:rsidRPr="009803F2">
        <w:rPr>
          <w:rFonts w:ascii="Times New Roman" w:hAnsi="Times New Roman" w:cs="Times New Roman"/>
          <w:b/>
          <w:sz w:val="24"/>
          <w:szCs w:val="24"/>
          <w:lang w:val="en-US"/>
        </w:rPr>
        <w:t>Keywords:</w:t>
      </w:r>
      <w:r w:rsidRPr="009803F2">
        <w:rPr>
          <w:rFonts w:ascii="Times New Roman" w:hAnsi="Times New Roman" w:cs="Times New Roman"/>
          <w:sz w:val="24"/>
          <w:szCs w:val="24"/>
          <w:lang w:val="en-US"/>
        </w:rPr>
        <w:t xml:space="preserve"> </w:t>
      </w:r>
      <w:r w:rsidR="009803F2" w:rsidRPr="009803F2">
        <w:rPr>
          <w:rFonts w:ascii="Times New Roman" w:hAnsi="Times New Roman" w:cs="Times New Roman"/>
          <w:sz w:val="24"/>
          <w:szCs w:val="24"/>
          <w:lang w:val="en-US"/>
        </w:rPr>
        <w:t>milk powder; free fat; fat at surface; dried dairy powde</w:t>
      </w:r>
      <w:r w:rsidR="009803F2">
        <w:rPr>
          <w:rFonts w:ascii="Times New Roman" w:hAnsi="Times New Roman" w:cs="Times New Roman"/>
          <w:sz w:val="24"/>
          <w:szCs w:val="24"/>
          <w:lang w:val="en-US"/>
        </w:rPr>
        <w:t>rs</w:t>
      </w:r>
      <w:r w:rsidR="009803F2" w:rsidRPr="009803F2">
        <w:rPr>
          <w:rFonts w:ascii="Times New Roman" w:hAnsi="Times New Roman" w:cs="Times New Roman"/>
          <w:sz w:val="24"/>
          <w:szCs w:val="24"/>
          <w:lang w:val="en-US"/>
        </w:rPr>
        <w:t xml:space="preserve"> </w:t>
      </w:r>
    </w:p>
    <w:p w14:paraId="1CDA779F" w14:textId="77777777" w:rsidR="00B8099F" w:rsidRPr="009803F2" w:rsidRDefault="00B8099F" w:rsidP="003C6E36">
      <w:pPr>
        <w:spacing w:after="0" w:line="360" w:lineRule="auto"/>
        <w:jc w:val="both"/>
        <w:rPr>
          <w:rFonts w:ascii="Times New Roman" w:hAnsi="Times New Roman" w:cs="Times New Roman"/>
          <w:b/>
          <w:sz w:val="24"/>
          <w:szCs w:val="24"/>
          <w:lang w:val="en-US"/>
        </w:rPr>
      </w:pPr>
    </w:p>
    <w:p w14:paraId="5AC3CF9E" w14:textId="501FBC62" w:rsidR="000B1E40" w:rsidRDefault="005161B3" w:rsidP="003C6E36">
      <w:pPr>
        <w:pStyle w:val="PargrafodaLista"/>
        <w:numPr>
          <w:ilvl w:val="0"/>
          <w:numId w:val="2"/>
        </w:numPr>
        <w:spacing w:after="0" w:line="360" w:lineRule="auto"/>
        <w:ind w:left="0" w:firstLine="0"/>
        <w:jc w:val="both"/>
        <w:rPr>
          <w:rFonts w:ascii="Times New Roman" w:hAnsi="Times New Roman" w:cs="Times New Roman"/>
          <w:b/>
          <w:sz w:val="24"/>
          <w:szCs w:val="24"/>
        </w:rPr>
      </w:pPr>
      <w:r w:rsidRPr="00094478">
        <w:rPr>
          <w:rFonts w:ascii="Times New Roman" w:hAnsi="Times New Roman" w:cs="Times New Roman"/>
          <w:b/>
          <w:sz w:val="24"/>
          <w:szCs w:val="24"/>
        </w:rPr>
        <w:t>INTRODUÇÃO</w:t>
      </w:r>
    </w:p>
    <w:p w14:paraId="2E3106F0" w14:textId="45808B6C" w:rsidR="000B1E40" w:rsidRPr="00812CCE" w:rsidRDefault="000B1E40" w:rsidP="003C6E36">
      <w:pPr>
        <w:spacing w:after="0" w:line="360" w:lineRule="auto"/>
        <w:jc w:val="both"/>
        <w:rPr>
          <w:rFonts w:ascii="Times New Roman" w:hAnsi="Times New Roman" w:cs="Times New Roman"/>
          <w:sz w:val="24"/>
          <w:szCs w:val="24"/>
        </w:rPr>
      </w:pPr>
      <w:r w:rsidRPr="002D6E6C">
        <w:rPr>
          <w:rFonts w:ascii="Times New Roman" w:hAnsi="Times New Roman" w:cs="Times New Roman"/>
          <w:b/>
          <w:sz w:val="24"/>
          <w:szCs w:val="24"/>
        </w:rPr>
        <w:tab/>
      </w:r>
      <w:r w:rsidRPr="00812CCE">
        <w:rPr>
          <w:rFonts w:ascii="Times New Roman" w:hAnsi="Times New Roman" w:cs="Times New Roman"/>
          <w:sz w:val="24"/>
          <w:szCs w:val="24"/>
        </w:rPr>
        <w:t>O leite e seus derivados merecem destaque por constituírem um grupo de alimentos de grande valor nutricional, uma vez que são fontes consideráveis de proteínas de alto valor biológico, além de conterem vitaminas e minerais. O consumo habitual desses alimentos é recomendado, principalmente, para que se atinja a adequação diária de ingestão de cálcio, um nutriente que, dentre outras funções, é fundamental para a formação e a manutenção da estrutura óssea do organismo (Muniz et al., 2013).</w:t>
      </w:r>
    </w:p>
    <w:p w14:paraId="50FE8339" w14:textId="77777777" w:rsidR="00812CCE" w:rsidRPr="00812CCE" w:rsidRDefault="002D0E81" w:rsidP="007E4A0A">
      <w:pPr>
        <w:spacing w:after="0" w:line="360" w:lineRule="auto"/>
        <w:ind w:firstLine="708"/>
        <w:jc w:val="both"/>
        <w:rPr>
          <w:rFonts w:ascii="Times New Roman" w:hAnsi="Times New Roman" w:cs="Times New Roman"/>
          <w:sz w:val="24"/>
          <w:szCs w:val="24"/>
        </w:rPr>
      </w:pPr>
      <w:r w:rsidRPr="00812CCE">
        <w:rPr>
          <w:rFonts w:ascii="Times New Roman" w:hAnsi="Times New Roman" w:cs="Times New Roman"/>
          <w:sz w:val="24"/>
          <w:szCs w:val="24"/>
        </w:rPr>
        <w:t xml:space="preserve">O leite em pó é um derivado do leite natural, sendo uma forma moderna de consumo do mesmo, este é obtido pela desidratação do leite, que pode ser integral, semidesnatado ou desnatado. </w:t>
      </w:r>
      <w:r w:rsidR="009442AC" w:rsidRPr="00812CCE">
        <w:rPr>
          <w:rFonts w:ascii="Times New Roman" w:hAnsi="Times New Roman" w:cs="Times New Roman"/>
          <w:sz w:val="24"/>
          <w:szCs w:val="24"/>
        </w:rPr>
        <w:t>O objetivo da desidratação do leite é estabilizar os constituintes do leite para seu armazenamento e uso posterior</w:t>
      </w:r>
      <w:r w:rsidRPr="00812CCE">
        <w:rPr>
          <w:rFonts w:ascii="Times New Roman" w:hAnsi="Times New Roman" w:cs="Times New Roman"/>
          <w:sz w:val="24"/>
          <w:szCs w:val="24"/>
        </w:rPr>
        <w:t xml:space="preserve">, pela redução da atividade de água do produto, levando a maior vida de prateleira. </w:t>
      </w:r>
    </w:p>
    <w:p w14:paraId="7485DD3D" w14:textId="714B9C1D" w:rsidR="002D0E81" w:rsidRPr="00812CCE" w:rsidRDefault="006A0514" w:rsidP="003C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CCE" w:rsidRPr="00812CCE">
        <w:rPr>
          <w:rFonts w:ascii="Times New Roman" w:hAnsi="Times New Roman" w:cs="Times New Roman"/>
          <w:sz w:val="24"/>
          <w:szCs w:val="24"/>
        </w:rPr>
        <w:t xml:space="preserve">É </w:t>
      </w:r>
      <w:r w:rsidR="009442AC" w:rsidRPr="00812CCE">
        <w:rPr>
          <w:rFonts w:ascii="Times New Roman" w:hAnsi="Times New Roman" w:cs="Times New Roman"/>
          <w:sz w:val="24"/>
          <w:szCs w:val="24"/>
        </w:rPr>
        <w:t>um ali</w:t>
      </w:r>
      <w:r w:rsidR="002D0E81" w:rsidRPr="00812CCE">
        <w:rPr>
          <w:rFonts w:ascii="Times New Roman" w:hAnsi="Times New Roman" w:cs="Times New Roman"/>
          <w:sz w:val="24"/>
          <w:szCs w:val="24"/>
        </w:rPr>
        <w:t>mento muito valioso e nutritivo, que p</w:t>
      </w:r>
      <w:r w:rsidR="009442AC" w:rsidRPr="00812CCE">
        <w:rPr>
          <w:rFonts w:ascii="Times New Roman" w:hAnsi="Times New Roman" w:cs="Times New Roman"/>
          <w:sz w:val="24"/>
          <w:szCs w:val="24"/>
        </w:rPr>
        <w:t>ode ser usado</w:t>
      </w:r>
      <w:r w:rsidR="002D0E81" w:rsidRPr="00812CCE">
        <w:rPr>
          <w:rFonts w:ascii="Times New Roman" w:hAnsi="Times New Roman" w:cs="Times New Roman"/>
          <w:sz w:val="24"/>
          <w:szCs w:val="24"/>
        </w:rPr>
        <w:t xml:space="preserve"> como ingrediente </w:t>
      </w:r>
      <w:r w:rsidR="00E05574">
        <w:rPr>
          <w:rFonts w:ascii="Times New Roman" w:hAnsi="Times New Roman" w:cs="Times New Roman"/>
          <w:sz w:val="24"/>
          <w:szCs w:val="24"/>
        </w:rPr>
        <w:t>na</w:t>
      </w:r>
      <w:r w:rsidR="002D0E81" w:rsidRPr="00812CCE">
        <w:rPr>
          <w:rFonts w:ascii="Times New Roman" w:hAnsi="Times New Roman" w:cs="Times New Roman"/>
          <w:sz w:val="24"/>
          <w:szCs w:val="24"/>
        </w:rPr>
        <w:t xml:space="preserve"> formulação de uma gama enorme de produtos, incluindo produtos de confeitaria, molhos, massas e até produtos farmacêuticos. Além disso, ao ser adicionado o teor de água removido, ele pode ser reconstituído, voltando a ter características do leite fluido, entretanto para que sua reconstituição seja adequada é necessário que esse produto atenda algumas exigências, como ter boa molhabilidade, dispersabilidade, solubilidade e penetrabilidade, que dependem de diversos fatores, entre eles as características da superfície da </w:t>
      </w:r>
      <w:r w:rsidR="00812CCE" w:rsidRPr="00812CCE">
        <w:rPr>
          <w:rFonts w:ascii="Times New Roman" w:hAnsi="Times New Roman" w:cs="Times New Roman"/>
          <w:sz w:val="24"/>
          <w:szCs w:val="24"/>
        </w:rPr>
        <w:t>partícula</w:t>
      </w:r>
      <w:r w:rsidR="002D0E81" w:rsidRPr="00812CCE">
        <w:rPr>
          <w:rFonts w:ascii="Times New Roman" w:hAnsi="Times New Roman" w:cs="Times New Roman"/>
          <w:sz w:val="24"/>
          <w:szCs w:val="24"/>
        </w:rPr>
        <w:t>.</w:t>
      </w:r>
    </w:p>
    <w:p w14:paraId="11EB5AF3" w14:textId="0182FE4D" w:rsidR="00554DC2" w:rsidRDefault="006A0514" w:rsidP="003C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E81" w:rsidRPr="00812CCE">
        <w:rPr>
          <w:rFonts w:ascii="Times New Roman" w:hAnsi="Times New Roman" w:cs="Times New Roman"/>
          <w:sz w:val="24"/>
          <w:szCs w:val="24"/>
        </w:rPr>
        <w:t>D</w:t>
      </w:r>
      <w:r w:rsidR="00C306C7" w:rsidRPr="00812CCE">
        <w:rPr>
          <w:rFonts w:ascii="Times New Roman" w:hAnsi="Times New Roman" w:cs="Times New Roman"/>
          <w:sz w:val="24"/>
          <w:szCs w:val="24"/>
        </w:rPr>
        <w:t>urante a</w:t>
      </w:r>
      <w:r w:rsidR="00812CCE">
        <w:rPr>
          <w:rFonts w:ascii="Times New Roman" w:hAnsi="Times New Roman" w:cs="Times New Roman"/>
          <w:sz w:val="24"/>
          <w:szCs w:val="24"/>
        </w:rPr>
        <w:t>s etap</w:t>
      </w:r>
      <w:r w:rsidR="002D0E81" w:rsidRPr="00812CCE">
        <w:rPr>
          <w:rFonts w:ascii="Times New Roman" w:hAnsi="Times New Roman" w:cs="Times New Roman"/>
          <w:sz w:val="24"/>
          <w:szCs w:val="24"/>
        </w:rPr>
        <w:t>as de processamento</w:t>
      </w:r>
      <w:r w:rsidR="00C306C7" w:rsidRPr="00812CCE">
        <w:rPr>
          <w:rFonts w:ascii="Times New Roman" w:hAnsi="Times New Roman" w:cs="Times New Roman"/>
          <w:sz w:val="24"/>
          <w:szCs w:val="24"/>
        </w:rPr>
        <w:t xml:space="preserve"> geralmente </w:t>
      </w:r>
      <w:r w:rsidR="002D0E81" w:rsidRPr="00812CCE">
        <w:rPr>
          <w:rFonts w:ascii="Times New Roman" w:hAnsi="Times New Roman" w:cs="Times New Roman"/>
          <w:sz w:val="24"/>
          <w:szCs w:val="24"/>
        </w:rPr>
        <w:t xml:space="preserve">ocorre </w:t>
      </w:r>
      <w:r w:rsidR="00C306C7" w:rsidRPr="00812CCE">
        <w:rPr>
          <w:rFonts w:ascii="Times New Roman" w:hAnsi="Times New Roman" w:cs="Times New Roman"/>
          <w:sz w:val="24"/>
          <w:szCs w:val="24"/>
        </w:rPr>
        <w:t xml:space="preserve">uma camada indesejada de gordura </w:t>
      </w:r>
      <w:r w:rsidR="002D0E81" w:rsidRPr="00812CCE">
        <w:rPr>
          <w:rFonts w:ascii="Times New Roman" w:hAnsi="Times New Roman" w:cs="Times New Roman"/>
          <w:sz w:val="24"/>
          <w:szCs w:val="24"/>
        </w:rPr>
        <w:t>sobre a</w:t>
      </w:r>
      <w:r w:rsidR="00C306C7" w:rsidRPr="00812CCE">
        <w:rPr>
          <w:rFonts w:ascii="Times New Roman" w:hAnsi="Times New Roman" w:cs="Times New Roman"/>
          <w:sz w:val="24"/>
          <w:szCs w:val="24"/>
        </w:rPr>
        <w:t xml:space="preserve"> superfície das partículas</w:t>
      </w:r>
      <w:r w:rsidR="00554DC2">
        <w:rPr>
          <w:rFonts w:ascii="Times New Roman" w:hAnsi="Times New Roman" w:cs="Times New Roman"/>
          <w:sz w:val="24"/>
          <w:szCs w:val="24"/>
        </w:rPr>
        <w:t>, sendo composta por frações de gordura livre que</w:t>
      </w:r>
      <w:r w:rsidR="00C306C7" w:rsidRPr="00812CCE">
        <w:rPr>
          <w:rFonts w:ascii="Times New Roman" w:hAnsi="Times New Roman" w:cs="Times New Roman"/>
          <w:sz w:val="24"/>
          <w:szCs w:val="24"/>
        </w:rPr>
        <w:t xml:space="preserve"> leva a efeitos prejudiciais nas propriedades do pó, incluind</w:t>
      </w:r>
      <w:r w:rsidR="00812CCE" w:rsidRPr="00812CCE">
        <w:rPr>
          <w:rFonts w:ascii="Times New Roman" w:hAnsi="Times New Roman" w:cs="Times New Roman"/>
          <w:sz w:val="24"/>
          <w:szCs w:val="24"/>
        </w:rPr>
        <w:t>o solubilidade reduzida na água, oxidação de lipídios, aumento de viscosidade, perda da qualidade</w:t>
      </w:r>
      <w:r w:rsidR="00812CCE">
        <w:rPr>
          <w:rFonts w:ascii="Times New Roman" w:hAnsi="Times New Roman" w:cs="Times New Roman"/>
          <w:sz w:val="24"/>
          <w:szCs w:val="24"/>
        </w:rPr>
        <w:t xml:space="preserve"> do produto. </w:t>
      </w:r>
    </w:p>
    <w:p w14:paraId="75F88491" w14:textId="196275BD" w:rsidR="00554DC2" w:rsidRDefault="006A0514" w:rsidP="003C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12CCE">
        <w:rPr>
          <w:rFonts w:ascii="Times New Roman" w:hAnsi="Times New Roman" w:cs="Times New Roman"/>
          <w:sz w:val="24"/>
          <w:szCs w:val="24"/>
        </w:rPr>
        <w:t>Diversos estudos tê</w:t>
      </w:r>
      <w:r w:rsidR="00812CCE" w:rsidRPr="00812CCE">
        <w:rPr>
          <w:rFonts w:ascii="Times New Roman" w:hAnsi="Times New Roman" w:cs="Times New Roman"/>
          <w:sz w:val="24"/>
          <w:szCs w:val="24"/>
        </w:rPr>
        <w:t>m documentando uma grande quantidade de gordura na superfície dos pós que ocorre principalmente durante as etapas de atomização e secagem</w:t>
      </w:r>
      <w:r w:rsidR="00812CCE">
        <w:rPr>
          <w:rFonts w:ascii="Times New Roman" w:hAnsi="Times New Roman" w:cs="Times New Roman"/>
          <w:sz w:val="24"/>
          <w:szCs w:val="24"/>
        </w:rPr>
        <w:t xml:space="preserve"> e seus efeitos prejudiciais. </w:t>
      </w:r>
      <w:r w:rsidR="00554DC2">
        <w:rPr>
          <w:rFonts w:ascii="Times New Roman" w:hAnsi="Times New Roman" w:cs="Times New Roman"/>
          <w:sz w:val="24"/>
          <w:szCs w:val="24"/>
        </w:rPr>
        <w:t xml:space="preserve"> Tem-se notado que possivelmente maneiras eficientes de se reduzir esse teor de gordura pode ser pela estabilização da matriz láctea antes dela passar por esses processos, de modo que o glóbulo de gordura esteja mais protegido antes de sofrer as alterações causadas por esse processo.</w:t>
      </w:r>
    </w:p>
    <w:p w14:paraId="3AE39501" w14:textId="604B089A" w:rsidR="00C306C7" w:rsidRDefault="006A0514" w:rsidP="003C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CCE">
        <w:rPr>
          <w:rFonts w:ascii="Times New Roman" w:hAnsi="Times New Roman" w:cs="Times New Roman"/>
          <w:sz w:val="24"/>
          <w:szCs w:val="24"/>
        </w:rPr>
        <w:t xml:space="preserve">Conhecer as características dessa gordura e procurar maneiras de </w:t>
      </w:r>
      <w:r w:rsidR="00E05574">
        <w:rPr>
          <w:rFonts w:ascii="Times New Roman" w:hAnsi="Times New Roman" w:cs="Times New Roman"/>
          <w:sz w:val="24"/>
          <w:szCs w:val="24"/>
        </w:rPr>
        <w:t>reduzi-la</w:t>
      </w:r>
      <w:r w:rsidR="00812CCE">
        <w:rPr>
          <w:rFonts w:ascii="Times New Roman" w:hAnsi="Times New Roman" w:cs="Times New Roman"/>
          <w:sz w:val="24"/>
          <w:szCs w:val="24"/>
        </w:rPr>
        <w:t xml:space="preserve"> se faz necessário para aumentar a qualidade do leite em pó e outros produtos lácteos, que apresentam esse mesmo problema. </w:t>
      </w:r>
    </w:p>
    <w:p w14:paraId="64E2BF8E" w14:textId="3995D4F6" w:rsidR="00B8099F" w:rsidRDefault="006A0514" w:rsidP="003C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CCE">
        <w:rPr>
          <w:rFonts w:ascii="Times New Roman" w:hAnsi="Times New Roman" w:cs="Times New Roman"/>
          <w:sz w:val="24"/>
          <w:szCs w:val="24"/>
        </w:rPr>
        <w:t>Essa revisão tem como foco abranger as características do leite em pó, de sua gordura, os relatos sobre esse acumulo superficial de gordura, além disso indicar algumas alternativas para redução do problema trazido.</w:t>
      </w:r>
      <w:bookmarkEnd w:id="0"/>
    </w:p>
    <w:p w14:paraId="7B602603" w14:textId="2649A6CC" w:rsidR="0005671A" w:rsidRPr="0005671A" w:rsidRDefault="0005671A" w:rsidP="003C6E36">
      <w:pPr>
        <w:spacing w:after="0" w:line="360" w:lineRule="auto"/>
        <w:jc w:val="both"/>
        <w:rPr>
          <w:rFonts w:ascii="Times New Roman" w:hAnsi="Times New Roman" w:cs="Times New Roman"/>
          <w:sz w:val="24"/>
          <w:szCs w:val="24"/>
        </w:rPr>
      </w:pPr>
    </w:p>
    <w:p w14:paraId="329F330F" w14:textId="4716A1AC" w:rsidR="007C2BE7" w:rsidRPr="00094478" w:rsidRDefault="005161B3" w:rsidP="003C6E36">
      <w:pPr>
        <w:pStyle w:val="PargrafodaLista"/>
        <w:numPr>
          <w:ilvl w:val="0"/>
          <w:numId w:val="2"/>
        </w:numPr>
        <w:spacing w:after="0" w:line="360" w:lineRule="auto"/>
        <w:ind w:left="0" w:firstLine="0"/>
        <w:jc w:val="both"/>
        <w:rPr>
          <w:rFonts w:ascii="Times New Roman" w:hAnsi="Times New Roman" w:cs="Times New Roman"/>
          <w:b/>
          <w:sz w:val="24"/>
          <w:szCs w:val="24"/>
        </w:rPr>
      </w:pPr>
      <w:r w:rsidRPr="00094478">
        <w:rPr>
          <w:rFonts w:ascii="Times New Roman" w:hAnsi="Times New Roman" w:cs="Times New Roman"/>
          <w:b/>
          <w:sz w:val="24"/>
          <w:szCs w:val="24"/>
        </w:rPr>
        <w:t>REFERENCIAL TEÓRICO</w:t>
      </w:r>
    </w:p>
    <w:p w14:paraId="20769B7F" w14:textId="77777777" w:rsidR="0005671A" w:rsidRPr="0005671A" w:rsidRDefault="0005671A" w:rsidP="003C6E36">
      <w:pPr>
        <w:spacing w:after="0" w:line="360" w:lineRule="auto"/>
        <w:jc w:val="both"/>
        <w:rPr>
          <w:rFonts w:ascii="Times New Roman" w:hAnsi="Times New Roman" w:cs="Times New Roman"/>
          <w:b/>
          <w:sz w:val="24"/>
          <w:szCs w:val="24"/>
        </w:rPr>
      </w:pPr>
    </w:p>
    <w:p w14:paraId="013810D6" w14:textId="2BC086F2" w:rsidR="0005671A" w:rsidRDefault="00094478" w:rsidP="003C6E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F3311E">
        <w:rPr>
          <w:rFonts w:ascii="Times New Roman" w:hAnsi="Times New Roman" w:cs="Times New Roman"/>
          <w:b/>
          <w:sz w:val="24"/>
          <w:szCs w:val="24"/>
        </w:rPr>
        <w:t>LEITE EM PÓ</w:t>
      </w:r>
    </w:p>
    <w:p w14:paraId="4E8A2B2F" w14:textId="4F464E0F" w:rsidR="00F3311E" w:rsidRPr="00F3311E" w:rsidRDefault="00C961F3" w:rsidP="007E4A0A">
      <w:pPr>
        <w:pStyle w:val="NormalWeb"/>
        <w:spacing w:before="0" w:beforeAutospacing="0" w:after="0" w:afterAutospacing="0" w:line="360" w:lineRule="auto"/>
        <w:ind w:firstLine="708"/>
        <w:jc w:val="both"/>
        <w:rPr>
          <w:rFonts w:eastAsiaTheme="minorHAnsi"/>
          <w:lang w:eastAsia="en-US"/>
        </w:rPr>
      </w:pPr>
      <w:r w:rsidRPr="00C961F3">
        <w:rPr>
          <w:rFonts w:eastAsiaTheme="minorHAnsi"/>
          <w:lang w:eastAsia="en-US"/>
        </w:rPr>
        <w:t>Entende-se por leite em pó o produto que se obtém por desidratação do leite de vaca, integral, desnatado ou parcialmente desnatado e apto para a alimentação humana, mediante processos tecnologicamente adequados</w:t>
      </w:r>
      <w:r w:rsidR="00F3311E" w:rsidRPr="00F3311E">
        <w:rPr>
          <w:rFonts w:eastAsiaTheme="minorHAnsi"/>
          <w:lang w:eastAsia="en-US"/>
        </w:rPr>
        <w:t xml:space="preserve">. É classificado como integral quando o teor de gordura for maior ou igual a 26,0%, desnatado quando o teor de gordura for menor </w:t>
      </w:r>
      <w:r>
        <w:rPr>
          <w:rFonts w:eastAsiaTheme="minorHAnsi"/>
          <w:lang w:eastAsia="en-US"/>
        </w:rPr>
        <w:t>ou igual a</w:t>
      </w:r>
      <w:r w:rsidR="00F3311E" w:rsidRPr="00F3311E">
        <w:rPr>
          <w:rFonts w:eastAsiaTheme="minorHAnsi"/>
          <w:lang w:eastAsia="en-US"/>
        </w:rPr>
        <w:t xml:space="preserve"> 1,5% de gordura e parcialmente desnatado se o teor de gordura </w:t>
      </w:r>
      <w:r>
        <w:rPr>
          <w:rFonts w:eastAsiaTheme="minorHAnsi"/>
          <w:lang w:eastAsia="en-US"/>
        </w:rPr>
        <w:t>for maior do que</w:t>
      </w:r>
      <w:r w:rsidR="00F3311E" w:rsidRPr="00F3311E">
        <w:rPr>
          <w:rFonts w:eastAsiaTheme="minorHAnsi"/>
          <w:lang w:eastAsia="en-US"/>
        </w:rPr>
        <w:t xml:space="preserve"> 1,5 </w:t>
      </w:r>
      <w:r>
        <w:rPr>
          <w:rFonts w:eastAsiaTheme="minorHAnsi"/>
          <w:lang w:eastAsia="en-US"/>
        </w:rPr>
        <w:t>e menor que</w:t>
      </w:r>
      <w:r w:rsidR="00F3311E" w:rsidRPr="00F3311E">
        <w:rPr>
          <w:rFonts w:eastAsiaTheme="minorHAnsi"/>
          <w:lang w:eastAsia="en-US"/>
        </w:rPr>
        <w:t xml:space="preserve"> </w:t>
      </w:r>
      <w:r>
        <w:rPr>
          <w:rFonts w:eastAsiaTheme="minorHAnsi"/>
          <w:lang w:eastAsia="en-US"/>
        </w:rPr>
        <w:t>26</w:t>
      </w:r>
      <w:r w:rsidR="00F3311E" w:rsidRPr="00F3311E">
        <w:rPr>
          <w:rFonts w:eastAsiaTheme="minorHAnsi"/>
          <w:lang w:eastAsia="en-US"/>
        </w:rPr>
        <w:t>%. Pode ser classificado como instantâneo ou não, a depender de sua umectabilidade e dispersibilidade</w:t>
      </w:r>
      <w:r w:rsidR="00790B5A">
        <w:rPr>
          <w:rFonts w:eastAsiaTheme="minorHAnsi"/>
          <w:lang w:eastAsia="en-US"/>
        </w:rPr>
        <w:t>, e, s</w:t>
      </w:r>
      <w:r w:rsidR="00F3311E" w:rsidRPr="00F3311E">
        <w:rPr>
          <w:rFonts w:eastAsiaTheme="minorHAnsi"/>
          <w:lang w:eastAsia="en-US"/>
        </w:rPr>
        <w:t>eu teor de umidade deve ser de no máximo 5</w:t>
      </w:r>
      <w:r>
        <w:rPr>
          <w:rFonts w:eastAsiaTheme="minorHAnsi"/>
          <w:lang w:eastAsia="en-US"/>
        </w:rPr>
        <w:t>,0</w:t>
      </w:r>
      <w:r w:rsidR="00F3311E" w:rsidRPr="00F3311E">
        <w:rPr>
          <w:rFonts w:eastAsiaTheme="minorHAnsi"/>
          <w:lang w:eastAsia="en-US"/>
        </w:rPr>
        <w:t xml:space="preserve">% (BRASIL, </w:t>
      </w:r>
      <w:r w:rsidR="00470FEA">
        <w:rPr>
          <w:rFonts w:eastAsiaTheme="minorHAnsi"/>
          <w:lang w:eastAsia="en-US"/>
        </w:rPr>
        <w:t>2018</w:t>
      </w:r>
      <w:r w:rsidR="00F3311E" w:rsidRPr="00F3311E">
        <w:rPr>
          <w:rFonts w:eastAsiaTheme="minorHAnsi"/>
          <w:lang w:eastAsia="en-US"/>
        </w:rPr>
        <w:t xml:space="preserve">). </w:t>
      </w:r>
    </w:p>
    <w:p w14:paraId="5AADE533" w14:textId="4BD8799E" w:rsidR="008350DC" w:rsidRPr="00F3311E" w:rsidRDefault="008350DC" w:rsidP="007E4A0A">
      <w:pPr>
        <w:pStyle w:val="NormalWeb"/>
        <w:spacing w:before="0" w:beforeAutospacing="0" w:after="0" w:afterAutospacing="0" w:line="360" w:lineRule="auto"/>
        <w:ind w:firstLine="708"/>
        <w:jc w:val="both"/>
        <w:rPr>
          <w:rFonts w:eastAsiaTheme="minorHAnsi"/>
          <w:lang w:eastAsia="en-US"/>
        </w:rPr>
      </w:pPr>
      <w:r>
        <w:t xml:space="preserve">O leite em pó, por possuir baixa atividade de água é considerado um produto estável em termos microbiológicos. Apesar do alto custo energético do processo de secagem, tem-se como outras vantagens o transporte do produto que não necessita de refrigeração e é facilitado devido à redução considerável de volume. Como basicamente somente a água é retirada do produto a redução de volume não altera </w:t>
      </w:r>
      <w:r w:rsidR="00ED7118">
        <w:t>a composição do</w:t>
      </w:r>
      <w:r>
        <w:t xml:space="preserve"> extrato seco do leite e facilita, ainda, o manuseio e o armazenamento do produto. Além</w:t>
      </w:r>
      <w:r w:rsidR="009F220D">
        <w:t xml:space="preserve"> disso,</w:t>
      </w:r>
      <w:r>
        <w:t xml:space="preserve"> </w:t>
      </w:r>
      <w:r w:rsidR="00A96622">
        <w:t xml:space="preserve">há uma enorme </w:t>
      </w:r>
      <w:r w:rsidR="00C53027">
        <w:t>demanda de leite em pó como</w:t>
      </w:r>
      <w:r w:rsidR="00A96622">
        <w:t xml:space="preserve"> ingrediente para diversos produtos, como biscoitos, massas, farinhas,</w:t>
      </w:r>
      <w:r>
        <w:t xml:space="preserve"> sorvete</w:t>
      </w:r>
      <w:r w:rsidR="00A96622">
        <w:t>s e diversos outros alimentos lácteos</w:t>
      </w:r>
      <w:r w:rsidR="00C53027">
        <w:t xml:space="preserve"> (MEDEIROS, 2010)</w:t>
      </w:r>
      <w:r>
        <w:t xml:space="preserve">. </w:t>
      </w:r>
    </w:p>
    <w:p w14:paraId="38DF5B4D" w14:textId="62938CF0" w:rsidR="008350DC" w:rsidRPr="00F3311E" w:rsidRDefault="00F3311E" w:rsidP="007E4A0A">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A produção mundial de leite em pó tem aumentando constantemente nos últimos anos devido a diversas comodidades tra</w:t>
      </w:r>
      <w:r w:rsidR="007477A0">
        <w:rPr>
          <w:rFonts w:eastAsiaTheme="minorHAnsi"/>
          <w:lang w:eastAsia="en-US"/>
        </w:rPr>
        <w:t>zid</w:t>
      </w:r>
      <w:r w:rsidRPr="00F3311E">
        <w:rPr>
          <w:rFonts w:eastAsiaTheme="minorHAnsi"/>
          <w:lang w:eastAsia="en-US"/>
        </w:rPr>
        <w:t xml:space="preserve">as pela sua fabricação, como: </w:t>
      </w:r>
      <w:r w:rsidR="00ED7118">
        <w:rPr>
          <w:rFonts w:eastAsiaTheme="minorHAnsi"/>
          <w:lang w:eastAsia="en-US"/>
        </w:rPr>
        <w:t>os elevados atributos de</w:t>
      </w:r>
      <w:r w:rsidRPr="00F3311E">
        <w:rPr>
          <w:rFonts w:eastAsiaTheme="minorHAnsi"/>
          <w:lang w:eastAsia="en-US"/>
        </w:rPr>
        <w:t xml:space="preserve"> </w:t>
      </w:r>
      <w:r w:rsidRPr="00F3311E">
        <w:rPr>
          <w:rFonts w:eastAsiaTheme="minorHAnsi"/>
          <w:lang w:eastAsia="en-US"/>
        </w:rPr>
        <w:lastRenderedPageBreak/>
        <w:t>qualidade do produto, que pode ser mantid</w:t>
      </w:r>
      <w:r w:rsidR="00ED7118">
        <w:rPr>
          <w:rFonts w:eastAsiaTheme="minorHAnsi"/>
          <w:lang w:eastAsia="en-US"/>
        </w:rPr>
        <w:t>o</w:t>
      </w:r>
      <w:r w:rsidRPr="00F3311E">
        <w:rPr>
          <w:rFonts w:eastAsiaTheme="minorHAnsi"/>
          <w:lang w:eastAsia="en-US"/>
        </w:rPr>
        <w:t xml:space="preserve"> sem condições especiais de armazenamento preservando a funcionalidade</w:t>
      </w:r>
      <w:r w:rsidR="00ED7118">
        <w:rPr>
          <w:rFonts w:eastAsiaTheme="minorHAnsi"/>
          <w:lang w:eastAsia="en-US"/>
        </w:rPr>
        <w:t>,</w:t>
      </w:r>
      <w:r w:rsidRPr="00F3311E">
        <w:rPr>
          <w:rFonts w:eastAsiaTheme="minorHAnsi"/>
          <w:lang w:eastAsia="en-US"/>
        </w:rPr>
        <w:t xml:space="preserve"> a segurança </w:t>
      </w:r>
      <w:r w:rsidR="00ED7118">
        <w:rPr>
          <w:rFonts w:eastAsiaTheme="minorHAnsi"/>
          <w:lang w:eastAsia="en-US"/>
        </w:rPr>
        <w:t>e</w:t>
      </w:r>
      <w:r w:rsidRPr="00F3311E">
        <w:rPr>
          <w:rFonts w:eastAsiaTheme="minorHAnsi"/>
          <w:lang w:eastAsia="en-US"/>
        </w:rPr>
        <w:t xml:space="preserve"> </w:t>
      </w:r>
      <w:r w:rsidR="00ED7118">
        <w:rPr>
          <w:rFonts w:eastAsiaTheme="minorHAnsi"/>
          <w:lang w:eastAsia="en-US"/>
        </w:rPr>
        <w:t>suas propriedades tecno-funcionais para aplicação</w:t>
      </w:r>
      <w:r w:rsidRPr="00F3311E">
        <w:rPr>
          <w:rFonts w:eastAsiaTheme="minorHAnsi"/>
          <w:lang w:eastAsia="en-US"/>
        </w:rPr>
        <w:t>; a redução de volume, favorecendo etapas como transporte e estocagem; a possibilidade de oferta do produto por tempo superior ao produto fluido, a não exigência de embalagens complexas; a facilidade de reconstituição, entre outras. (KITAMURA et al., 2009; PRADO; PARADA; SOCCOL, 2008; CUQ; RONDET; ABECASSIS, 2011; SCHUCK, 201</w:t>
      </w:r>
      <w:r w:rsidR="008104BB">
        <w:rPr>
          <w:rFonts w:eastAsiaTheme="minorHAnsi"/>
          <w:lang w:eastAsia="en-US"/>
        </w:rPr>
        <w:t>6</w:t>
      </w:r>
      <w:r w:rsidRPr="00F3311E">
        <w:rPr>
          <w:rFonts w:eastAsiaTheme="minorHAnsi"/>
          <w:lang w:eastAsia="en-US"/>
        </w:rPr>
        <w:t>).</w:t>
      </w:r>
    </w:p>
    <w:p w14:paraId="52B2C345" w14:textId="3F9E964E" w:rsidR="00F3311E" w:rsidRDefault="00F3311E" w:rsidP="007E4A0A">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As etapas de processamento do leite em pó consistem em recepção, clarificação, resfriamento e armazenamento, padronização, tratamento térmico, evaporação, homogeneização, secagem e embalagem (LANOTTE et al., 2018).</w:t>
      </w:r>
    </w:p>
    <w:p w14:paraId="41F8F5BE" w14:textId="2B9C753E" w:rsidR="00F83750" w:rsidRPr="009C4455" w:rsidRDefault="009C4455" w:rsidP="003C6E36">
      <w:pPr>
        <w:pStyle w:val="NormalWeb"/>
        <w:spacing w:before="0" w:beforeAutospacing="0" w:after="0" w:afterAutospacing="0" w:line="360" w:lineRule="auto"/>
        <w:jc w:val="both"/>
        <w:rPr>
          <w:rFonts w:eastAsiaTheme="minorHAnsi"/>
          <w:b/>
          <w:lang w:eastAsia="en-US"/>
        </w:rPr>
      </w:pPr>
      <w:r w:rsidRPr="009C4455">
        <w:rPr>
          <w:rFonts w:eastAsiaTheme="minorHAnsi"/>
          <w:b/>
          <w:lang w:eastAsia="en-US"/>
        </w:rPr>
        <w:t>2.2 CARACTERÍSTICAS DE RECONSTITUIÇÃO</w:t>
      </w:r>
    </w:p>
    <w:p w14:paraId="47B2509A" w14:textId="30B0A70D" w:rsidR="00F3311E" w:rsidRPr="00925646" w:rsidRDefault="00F3311E" w:rsidP="007E4A0A">
      <w:pPr>
        <w:spacing w:after="0" w:line="360" w:lineRule="auto"/>
        <w:ind w:firstLine="708"/>
        <w:jc w:val="both"/>
        <w:rPr>
          <w:rFonts w:ascii="Times New Roman" w:hAnsi="Times New Roman" w:cs="Times New Roman"/>
          <w:sz w:val="24"/>
          <w:szCs w:val="24"/>
        </w:rPr>
      </w:pPr>
      <w:r w:rsidRPr="00925646">
        <w:rPr>
          <w:rFonts w:ascii="Times New Roman" w:hAnsi="Times New Roman" w:cs="Times New Roman"/>
          <w:sz w:val="24"/>
          <w:szCs w:val="24"/>
        </w:rPr>
        <w:t xml:space="preserve">O pó obtido pelo processo de secagem deve ser de fácil hidratação e reconstituição. Ao ser despejado sobre a superfície da água deverão ocorrer os seguintes fenômenos: (i) </w:t>
      </w:r>
      <w:r w:rsidR="007477A0" w:rsidRPr="00925646">
        <w:rPr>
          <w:rFonts w:ascii="Times New Roman" w:hAnsi="Times New Roman" w:cs="Times New Roman"/>
          <w:sz w:val="24"/>
          <w:szCs w:val="24"/>
        </w:rPr>
        <w:t>m</w:t>
      </w:r>
      <w:r w:rsidRPr="00925646">
        <w:rPr>
          <w:rFonts w:ascii="Times New Roman" w:hAnsi="Times New Roman" w:cs="Times New Roman"/>
          <w:sz w:val="24"/>
          <w:szCs w:val="24"/>
        </w:rPr>
        <w:t xml:space="preserve">olhabilidade, que consiste na penetração do liquido para o interior da estrutura do pó, movido por forças capilares, (ii) imersibilidade,  que é a imersão das partículas ou de porções do pó no líquido; (iii) dispersibilidade, ou seja, a capacidade do pó </w:t>
      </w:r>
      <w:r w:rsidR="00AA6A59" w:rsidRPr="00925646">
        <w:rPr>
          <w:rFonts w:ascii="Times New Roman" w:hAnsi="Times New Roman" w:cs="Times New Roman"/>
          <w:sz w:val="24"/>
          <w:szCs w:val="24"/>
        </w:rPr>
        <w:t xml:space="preserve">de </w:t>
      </w:r>
      <w:r w:rsidRPr="00925646">
        <w:rPr>
          <w:rFonts w:ascii="Times New Roman" w:hAnsi="Times New Roman" w:cs="Times New Roman"/>
          <w:sz w:val="24"/>
          <w:szCs w:val="24"/>
        </w:rPr>
        <w:t xml:space="preserve">se espalhar </w:t>
      </w:r>
      <w:r w:rsidR="00AA6A59" w:rsidRPr="00925646">
        <w:rPr>
          <w:rFonts w:ascii="Times New Roman" w:hAnsi="Times New Roman" w:cs="Times New Roman"/>
          <w:sz w:val="24"/>
          <w:szCs w:val="24"/>
        </w:rPr>
        <w:t xml:space="preserve">no liquido </w:t>
      </w:r>
      <w:r w:rsidRPr="00925646">
        <w:rPr>
          <w:rFonts w:ascii="Times New Roman" w:hAnsi="Times New Roman" w:cs="Times New Roman"/>
          <w:sz w:val="24"/>
          <w:szCs w:val="24"/>
        </w:rPr>
        <w:t>e a (iv) solubilidade, que é a dissolução das partículas pelo líquido, d</w:t>
      </w:r>
      <w:r w:rsidR="00F822AF" w:rsidRPr="00925646">
        <w:rPr>
          <w:rFonts w:ascii="Times New Roman" w:hAnsi="Times New Roman" w:cs="Times New Roman"/>
          <w:sz w:val="24"/>
          <w:szCs w:val="24"/>
        </w:rPr>
        <w:t xml:space="preserve">esde que estas sejam solúveis. </w:t>
      </w:r>
      <w:r w:rsidR="00925646" w:rsidRPr="00925646">
        <w:rPr>
          <w:rFonts w:ascii="Times New Roman" w:hAnsi="Times New Roman" w:cs="Times New Roman"/>
          <w:sz w:val="24"/>
          <w:szCs w:val="24"/>
        </w:rPr>
        <w:t xml:space="preserve">O índice de insolubilidade de um pó é uma medida do grau em que pode ser prontamente solubilizado em água antes da utilização. Está relacionado com a quantidade de sedimento obtido sob condições definidas de mistura de pós de leite.  A fluidez também é influenciada por outros fatores, como a gordura total no pó e a quantidade de gordura livre. </w:t>
      </w:r>
      <w:r w:rsidRPr="00925646">
        <w:rPr>
          <w:rFonts w:ascii="Times New Roman" w:hAnsi="Times New Roman" w:cs="Times New Roman"/>
          <w:sz w:val="24"/>
          <w:szCs w:val="24"/>
        </w:rPr>
        <w:t>As propriedades associadas a essas quatro etapas são denominadas de "instantaneidade" do produto (</w:t>
      </w:r>
      <w:r w:rsidR="00446EC0" w:rsidRPr="00446EC0">
        <w:rPr>
          <w:rFonts w:ascii="Times New Roman" w:hAnsi="Times New Roman" w:cs="Times New Roman"/>
          <w:sz w:val="24"/>
          <w:szCs w:val="24"/>
        </w:rPr>
        <w:t>PISECKY</w:t>
      </w:r>
      <w:r w:rsidRPr="00925646">
        <w:rPr>
          <w:rFonts w:ascii="Times New Roman" w:hAnsi="Times New Roman" w:cs="Times New Roman"/>
          <w:sz w:val="24"/>
          <w:szCs w:val="24"/>
        </w:rPr>
        <w:t>, 20</w:t>
      </w:r>
      <w:r w:rsidR="00446EC0">
        <w:rPr>
          <w:rFonts w:ascii="Times New Roman" w:hAnsi="Times New Roman" w:cs="Times New Roman"/>
          <w:sz w:val="24"/>
          <w:szCs w:val="24"/>
        </w:rPr>
        <w:t>12</w:t>
      </w:r>
      <w:r w:rsidRPr="00925646">
        <w:rPr>
          <w:rFonts w:ascii="Times New Roman" w:hAnsi="Times New Roman" w:cs="Times New Roman"/>
          <w:sz w:val="24"/>
          <w:szCs w:val="24"/>
        </w:rPr>
        <w:t xml:space="preserve">). </w:t>
      </w:r>
    </w:p>
    <w:p w14:paraId="63C47DB6" w14:textId="09BA1FCF" w:rsidR="00925646" w:rsidRPr="00925646" w:rsidRDefault="00F3311E" w:rsidP="007E4A0A">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O leite em pó instantâneo visa atender consumidores, que são exigentes quanto à praticidade e à qualidade do produto. Diversos fatores estão relacionados com a obtenção de leite em pó instantâneo, dentre os quais destacam-se gordura livre, densidade da partícula, aglomeração, intensidade do tratamento térmico, presença de lactose amorfa, retorno de finos para câmara de secagem, tipo de atomizador e equipamento de secagem em</w:t>
      </w:r>
      <w:r w:rsidR="00925646">
        <w:rPr>
          <w:rFonts w:eastAsiaTheme="minorHAnsi"/>
          <w:lang w:eastAsia="en-US"/>
        </w:rPr>
        <w:t>pregado (</w:t>
      </w:r>
      <w:r w:rsidR="00734A90">
        <w:rPr>
          <w:rFonts w:eastAsiaTheme="minorHAnsi"/>
          <w:lang w:eastAsia="en-US"/>
        </w:rPr>
        <w:t>SILVEIRA</w:t>
      </w:r>
      <w:r w:rsidR="00925646">
        <w:rPr>
          <w:rFonts w:eastAsiaTheme="minorHAnsi"/>
          <w:lang w:eastAsia="en-US"/>
        </w:rPr>
        <w:t xml:space="preserve"> et al., 20</w:t>
      </w:r>
      <w:r w:rsidR="00734A90">
        <w:rPr>
          <w:rFonts w:eastAsiaTheme="minorHAnsi"/>
          <w:lang w:eastAsia="en-US"/>
        </w:rPr>
        <w:t>13</w:t>
      </w:r>
      <w:r w:rsidR="00925646">
        <w:rPr>
          <w:rFonts w:eastAsiaTheme="minorHAnsi"/>
          <w:lang w:eastAsia="en-US"/>
        </w:rPr>
        <w:t>).</w:t>
      </w:r>
    </w:p>
    <w:p w14:paraId="1AFC0EDC" w14:textId="49ADAB84" w:rsidR="00560117" w:rsidRPr="00F3311E"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Em relação</w:t>
      </w:r>
      <w:r w:rsidR="00F822AF">
        <w:rPr>
          <w:rFonts w:eastAsiaTheme="minorHAnsi"/>
          <w:lang w:eastAsia="en-US"/>
        </w:rPr>
        <w:t xml:space="preserve"> a molhabilidade, segundo </w:t>
      </w:r>
      <w:r w:rsidR="00BA6784" w:rsidRPr="00BA6784">
        <w:rPr>
          <w:rFonts w:eastAsiaTheme="minorHAnsi"/>
          <w:lang w:eastAsia="en-US"/>
        </w:rPr>
        <w:t>PISECKY</w:t>
      </w:r>
      <w:r w:rsidRPr="00F3311E">
        <w:rPr>
          <w:rFonts w:eastAsiaTheme="minorHAnsi"/>
          <w:lang w:eastAsia="en-US"/>
        </w:rPr>
        <w:t xml:space="preserve"> (</w:t>
      </w:r>
      <w:r w:rsidR="00BA6784">
        <w:rPr>
          <w:rFonts w:eastAsiaTheme="minorHAnsi"/>
          <w:lang w:eastAsia="en-US"/>
        </w:rPr>
        <w:t>2012</w:t>
      </w:r>
      <w:r w:rsidRPr="00F3311E">
        <w:rPr>
          <w:rFonts w:eastAsiaTheme="minorHAnsi"/>
          <w:lang w:eastAsia="en-US"/>
        </w:rPr>
        <w:t>) existe uma correlação inversa entre esta e o conteúdo de gordura livre. Quando maior o teor de gordura livre mais difícil será a penetração do liquido pelas partículas, dificultando a hidratação.</w:t>
      </w:r>
    </w:p>
    <w:p w14:paraId="52D2DD6C" w14:textId="77777777" w:rsidR="0005671A" w:rsidRPr="0005671A" w:rsidRDefault="0005671A" w:rsidP="003C6E36">
      <w:pPr>
        <w:spacing w:after="0" w:line="360" w:lineRule="auto"/>
        <w:jc w:val="both"/>
        <w:rPr>
          <w:rFonts w:ascii="Times New Roman" w:hAnsi="Times New Roman" w:cs="Times New Roman"/>
          <w:sz w:val="24"/>
          <w:szCs w:val="24"/>
        </w:rPr>
      </w:pPr>
    </w:p>
    <w:p w14:paraId="7E85475B" w14:textId="143B23AE" w:rsidR="00F63F2F" w:rsidRDefault="009C4455" w:rsidP="003C6E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GORDURA LIVRE, ENCAPSULADA E GORDURA SUPERFICIAL</w:t>
      </w:r>
    </w:p>
    <w:p w14:paraId="4BF5E53C" w14:textId="158438D6" w:rsidR="00F3311E" w:rsidRPr="00F3311E" w:rsidRDefault="00F3311E" w:rsidP="007E4A0A">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lastRenderedPageBreak/>
        <w:t>A partícula de leite em pó, é composta por gordura livre e encapsulada, a gordura livre é considerada como a gordura (i) que não é inteiramente revestido e estabilizado por moléculas anfifílicas, por exemplo, pela membrana nativa do glóbulo de gordura, composta por fosfolípidios e proteínas ou por um revestimento reconstituído de proteínas adsorvidas após alguns passos de processamento, tais como tratamento térmico e homogeneização, ou (ii) que não é totalmente protegido por</w:t>
      </w:r>
      <w:r w:rsidRPr="00EA7847">
        <w:rPr>
          <w:rFonts w:ascii="Arial" w:hAnsi="Arial" w:cs="Arial"/>
          <w:sz w:val="24"/>
          <w:szCs w:val="24"/>
        </w:rPr>
        <w:t xml:space="preserve"> </w:t>
      </w:r>
      <w:r w:rsidRPr="00F3311E">
        <w:rPr>
          <w:rFonts w:ascii="Times New Roman" w:hAnsi="Times New Roman" w:cs="Times New Roman"/>
          <w:sz w:val="24"/>
          <w:szCs w:val="24"/>
        </w:rPr>
        <w:t xml:space="preserve">uma matriz composta por hidratos de carbono amorfas (por exemplo, lactose) e proteínas durante a secagem. Essa gordura está localizada tanto na superfície quanto nas partes internas de uma partícula do pó (VIGNOLLES et al., 2007). </w:t>
      </w:r>
    </w:p>
    <w:p w14:paraId="33680E8E" w14:textId="0608A249" w:rsidR="00F3311E" w:rsidRDefault="00F3311E" w:rsidP="004551BD">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As frações de gordura livre apresenta</w:t>
      </w:r>
      <w:r w:rsidR="007D734D">
        <w:rPr>
          <w:rFonts w:ascii="Times New Roman" w:hAnsi="Times New Roman" w:cs="Times New Roman"/>
          <w:sz w:val="24"/>
          <w:szCs w:val="24"/>
        </w:rPr>
        <w:t>m</w:t>
      </w:r>
      <w:r w:rsidRPr="00F3311E">
        <w:rPr>
          <w:rFonts w:ascii="Times New Roman" w:hAnsi="Times New Roman" w:cs="Times New Roman"/>
          <w:sz w:val="24"/>
          <w:szCs w:val="24"/>
        </w:rPr>
        <w:t xml:space="preserve"> concentrações levemente mais altas de ácidos graxos saturados C6-C18 e concentrações ligeiramente menores de ácidos graxos insaturados C16-C18 em comparação com a gordura total.  Apresenta</w:t>
      </w:r>
      <w:r w:rsidR="00F822AF">
        <w:rPr>
          <w:rFonts w:ascii="Times New Roman" w:hAnsi="Times New Roman" w:cs="Times New Roman"/>
          <w:sz w:val="24"/>
          <w:szCs w:val="24"/>
        </w:rPr>
        <w:t>m</w:t>
      </w:r>
      <w:r w:rsidRPr="00F3311E">
        <w:rPr>
          <w:rFonts w:ascii="Times New Roman" w:hAnsi="Times New Roman" w:cs="Times New Roman"/>
          <w:sz w:val="24"/>
          <w:szCs w:val="24"/>
        </w:rPr>
        <w:t xml:space="preserve"> maior proporção de espécies triglicérides de alto ponto de fusão do que a gordura encapsulada. As espécies de triglicerídeos de alto ponto de fusão presentes nas frações de gordura livre são levemente acumuladas na superfície do pó (KIM; DONG; PEARCE, 2005</w:t>
      </w:r>
      <w:r w:rsidR="00AA6A59">
        <w:rPr>
          <w:rFonts w:ascii="Times New Roman" w:hAnsi="Times New Roman" w:cs="Times New Roman"/>
          <w:sz w:val="24"/>
          <w:szCs w:val="24"/>
        </w:rPr>
        <w:t>a</w:t>
      </w:r>
      <w:r w:rsidR="0049794F">
        <w:rPr>
          <w:rFonts w:ascii="Times New Roman" w:hAnsi="Times New Roman" w:cs="Times New Roman"/>
          <w:sz w:val="24"/>
          <w:szCs w:val="24"/>
        </w:rPr>
        <w:t xml:space="preserve">).  </w:t>
      </w:r>
      <w:r w:rsidR="006A0514">
        <w:rPr>
          <w:rFonts w:ascii="Times New Roman" w:hAnsi="Times New Roman" w:cs="Times New Roman"/>
          <w:sz w:val="24"/>
          <w:szCs w:val="24"/>
        </w:rPr>
        <w:t>Entretanto</w:t>
      </w:r>
      <w:r w:rsidRPr="00F3311E">
        <w:rPr>
          <w:rFonts w:ascii="Times New Roman" w:hAnsi="Times New Roman" w:cs="Times New Roman"/>
          <w:sz w:val="24"/>
          <w:szCs w:val="24"/>
        </w:rPr>
        <w:t xml:space="preserve"> a gordura encapsulada representa cerca de 90% da gordura total (VIGNOLLES et al., 2007). </w:t>
      </w:r>
    </w:p>
    <w:p w14:paraId="04A1C031" w14:textId="48F7ADF0" w:rsidR="003143A1" w:rsidRDefault="00F3311E" w:rsidP="007E4A0A">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 xml:space="preserve">A gordura livre, pode ser também definida como a fração de gordura que é extraída por solventes orgânicos sob condições padronizadas, sendo um parâmetro importante para caracterizar os pós lácteos que contêm gordura. O tempo e o solvente e a técnica delimitam qual fração da gordura será extraída, frações </w:t>
      </w:r>
      <w:r w:rsidR="007D734D">
        <w:rPr>
          <w:rFonts w:ascii="Times New Roman" w:hAnsi="Times New Roman" w:cs="Times New Roman"/>
          <w:sz w:val="24"/>
          <w:szCs w:val="24"/>
        </w:rPr>
        <w:t xml:space="preserve">internas </w:t>
      </w:r>
      <w:r w:rsidRPr="007D734D">
        <w:rPr>
          <w:rFonts w:ascii="Times New Roman" w:hAnsi="Times New Roman" w:cs="Times New Roman"/>
          <w:sz w:val="24"/>
          <w:szCs w:val="24"/>
        </w:rPr>
        <w:t>e encapsuladas</w:t>
      </w:r>
      <w:r w:rsidRPr="00F3311E">
        <w:rPr>
          <w:rFonts w:ascii="Times New Roman" w:hAnsi="Times New Roman" w:cs="Times New Roman"/>
          <w:sz w:val="24"/>
          <w:szCs w:val="24"/>
        </w:rPr>
        <w:t xml:space="preserve"> são extraídas consideravelmente de forma mais lenta (KIM; DONG; PEARCE, 2005</w:t>
      </w:r>
      <w:r w:rsidR="00AA6A59">
        <w:rPr>
          <w:rFonts w:ascii="Times New Roman" w:hAnsi="Times New Roman" w:cs="Times New Roman"/>
          <w:sz w:val="24"/>
          <w:szCs w:val="24"/>
        </w:rPr>
        <w:t>a</w:t>
      </w:r>
      <w:r w:rsidRPr="00F3311E">
        <w:rPr>
          <w:rFonts w:ascii="Times New Roman" w:hAnsi="Times New Roman" w:cs="Times New Roman"/>
          <w:sz w:val="24"/>
          <w:szCs w:val="24"/>
        </w:rPr>
        <w:t>). Acredita-se que a gordura livre esteja presente principalmente (e, portanto, extraída) na superfície do pó. (VIGNOLLES et al., 2007).</w:t>
      </w:r>
    </w:p>
    <w:p w14:paraId="293B5938" w14:textId="3A3D38BC" w:rsidR="00F3311E" w:rsidRPr="00F3311E"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Nem toda gordura presente na superfície estará na forma livre, uma parte dela será encapsulada. A quantidade total de gordura superficial livre, frequentemente expressa pela eficiência de encapsulação de uma amostra de pó, é frequentemente quantificada pela extração de gordura superficial. Entretanto nenhum procedimento padrão foi estabelecido e as técnicas na literatura variam consideravelmente entre si, conforme resumido por  </w:t>
      </w:r>
      <w:bookmarkStart w:id="1" w:name="bbib80"/>
      <w:r w:rsidRPr="00F3311E">
        <w:rPr>
          <w:rFonts w:eastAsiaTheme="minorHAnsi"/>
          <w:lang w:eastAsia="en-US"/>
        </w:rPr>
        <w:fldChar w:fldCharType="begin"/>
      </w:r>
      <w:r w:rsidRPr="00F3311E">
        <w:rPr>
          <w:rFonts w:eastAsiaTheme="minorHAnsi"/>
          <w:lang w:eastAsia="en-US"/>
        </w:rPr>
        <w:instrText xml:space="preserve"> HYPERLINK "https://www.sciencedirect.com/science/article/pii/B9780081005965211554" \l "bib80" </w:instrText>
      </w:r>
      <w:r w:rsidRPr="00F3311E">
        <w:rPr>
          <w:rFonts w:eastAsiaTheme="minorHAnsi"/>
          <w:lang w:eastAsia="en-US"/>
        </w:rPr>
        <w:fldChar w:fldCharType="separate"/>
      </w:r>
      <w:r w:rsidRPr="00F3311E">
        <w:rPr>
          <w:rFonts w:eastAsiaTheme="minorHAnsi"/>
          <w:lang w:eastAsia="en-US"/>
        </w:rPr>
        <w:t>Vega e Roos (2006).</w:t>
      </w:r>
      <w:r w:rsidRPr="00F3311E">
        <w:rPr>
          <w:rFonts w:eastAsiaTheme="minorHAnsi"/>
          <w:lang w:eastAsia="en-US"/>
        </w:rPr>
        <w:fldChar w:fldCharType="end"/>
      </w:r>
      <w:bookmarkEnd w:id="1"/>
      <w:r w:rsidRPr="00F3311E">
        <w:rPr>
          <w:rFonts w:eastAsiaTheme="minorHAnsi"/>
          <w:lang w:eastAsia="en-US"/>
        </w:rPr>
        <w:t xml:space="preserve">  A quantidade de gordura extraída depende ainda do tamanho e da porosidade da partícula (</w:t>
      </w:r>
      <w:bookmarkStart w:id="2" w:name="bbib82"/>
      <w:r w:rsidRPr="00F3311E">
        <w:rPr>
          <w:rFonts w:eastAsiaTheme="minorHAnsi"/>
          <w:lang w:eastAsia="en-US"/>
        </w:rPr>
        <w:fldChar w:fldCharType="begin"/>
      </w:r>
      <w:r w:rsidRPr="00F3311E">
        <w:rPr>
          <w:rFonts w:eastAsiaTheme="minorHAnsi"/>
          <w:lang w:eastAsia="en-US"/>
        </w:rPr>
        <w:instrText xml:space="preserve"> HYPERLINK "https://www.sciencedirect.com/science/article/pii/B9780081005965211554" \l "bib82" </w:instrText>
      </w:r>
      <w:r w:rsidRPr="00F3311E">
        <w:rPr>
          <w:rFonts w:eastAsiaTheme="minorHAnsi"/>
          <w:lang w:eastAsia="en-US"/>
        </w:rPr>
        <w:fldChar w:fldCharType="separate"/>
      </w:r>
      <w:r w:rsidRPr="00F3311E">
        <w:rPr>
          <w:rFonts w:eastAsiaTheme="minorHAnsi"/>
          <w:lang w:eastAsia="en-US"/>
        </w:rPr>
        <w:t>VIGNOLLES et al., 2007).</w:t>
      </w:r>
      <w:r w:rsidRPr="00F3311E">
        <w:rPr>
          <w:rFonts w:eastAsiaTheme="minorHAnsi"/>
          <w:lang w:eastAsia="en-US"/>
        </w:rPr>
        <w:fldChar w:fldCharType="end"/>
      </w:r>
      <w:bookmarkEnd w:id="2"/>
      <w:r w:rsidRPr="00F3311E">
        <w:rPr>
          <w:rFonts w:eastAsiaTheme="minorHAnsi"/>
          <w:lang w:eastAsia="en-US"/>
        </w:rPr>
        <w:t xml:space="preserve"> Acredita-se que uma quantidade significativa de gordura extraível não se origine das superfícies das partículas, mas da gordura livre interna que é extraída do interior das partículas através de poros e fissuras, em particular em misturas relativamente intensas e longos tempos de exposição ao solvente (</w:t>
      </w:r>
      <w:bookmarkStart w:id="3" w:name="bbib6"/>
      <w:r w:rsidRPr="00F3311E">
        <w:rPr>
          <w:rFonts w:eastAsiaTheme="minorHAnsi"/>
          <w:lang w:eastAsia="en-US"/>
        </w:rPr>
        <w:fldChar w:fldCharType="begin"/>
      </w:r>
      <w:r w:rsidRPr="00F3311E">
        <w:rPr>
          <w:rFonts w:eastAsiaTheme="minorHAnsi"/>
          <w:lang w:eastAsia="en-US"/>
        </w:rPr>
        <w:instrText xml:space="preserve"> HYPERLINK "https://www.sciencedirect.com/science/article/pii/B9780081005965211554" \l "bib6" </w:instrText>
      </w:r>
      <w:r w:rsidRPr="00F3311E">
        <w:rPr>
          <w:rFonts w:eastAsiaTheme="minorHAnsi"/>
          <w:lang w:eastAsia="en-US"/>
        </w:rPr>
        <w:fldChar w:fldCharType="separate"/>
      </w:r>
      <w:r w:rsidR="001B7A15" w:rsidRPr="001B7A15">
        <w:rPr>
          <w:rFonts w:eastAsiaTheme="minorHAnsi"/>
          <w:lang w:eastAsia="en-US"/>
        </w:rPr>
        <w:t>SCHMIDMEIER</w:t>
      </w:r>
      <w:r w:rsidR="001B7A15">
        <w:rPr>
          <w:rFonts w:eastAsiaTheme="minorHAnsi"/>
          <w:lang w:eastAsia="en-US"/>
        </w:rPr>
        <w:t xml:space="preserve"> et al.</w:t>
      </w:r>
      <w:r w:rsidRPr="00F3311E">
        <w:rPr>
          <w:rFonts w:eastAsiaTheme="minorHAnsi"/>
          <w:lang w:eastAsia="en-US"/>
        </w:rPr>
        <w:t xml:space="preserve">, </w:t>
      </w:r>
      <w:r w:rsidR="001B7A15">
        <w:rPr>
          <w:rFonts w:eastAsiaTheme="minorHAnsi"/>
          <w:lang w:eastAsia="en-US"/>
        </w:rPr>
        <w:t>20</w:t>
      </w:r>
      <w:r w:rsidRPr="00F3311E">
        <w:rPr>
          <w:rFonts w:eastAsiaTheme="minorHAnsi"/>
          <w:lang w:eastAsia="en-US"/>
        </w:rPr>
        <w:t>19</w:t>
      </w:r>
      <w:r w:rsidRPr="00F3311E">
        <w:rPr>
          <w:rFonts w:eastAsiaTheme="minorHAnsi"/>
          <w:lang w:eastAsia="en-US"/>
        </w:rPr>
        <w:fldChar w:fldCharType="end"/>
      </w:r>
      <w:bookmarkEnd w:id="3"/>
      <w:r w:rsidRPr="00F3311E">
        <w:rPr>
          <w:rFonts w:eastAsiaTheme="minorHAnsi"/>
          <w:lang w:eastAsia="en-US"/>
        </w:rPr>
        <w:t>; </w:t>
      </w:r>
      <w:bookmarkStart w:id="4" w:name="bbib5"/>
      <w:r w:rsidRPr="00F3311E">
        <w:rPr>
          <w:rFonts w:eastAsiaTheme="minorHAnsi"/>
          <w:lang w:eastAsia="en-US"/>
        </w:rPr>
        <w:fldChar w:fldCharType="begin"/>
      </w:r>
      <w:r w:rsidRPr="00F3311E">
        <w:rPr>
          <w:rFonts w:eastAsiaTheme="minorHAnsi"/>
          <w:lang w:eastAsia="en-US"/>
        </w:rPr>
        <w:instrText xml:space="preserve"> HYPERLINK "https://www.sciencedirect.com/science/article/pii/B9780081005965211554" \l "bib5" </w:instrText>
      </w:r>
      <w:r w:rsidRPr="00F3311E">
        <w:rPr>
          <w:rFonts w:eastAsiaTheme="minorHAnsi"/>
          <w:lang w:eastAsia="en-US"/>
        </w:rPr>
        <w:fldChar w:fldCharType="separate"/>
      </w:r>
      <w:r w:rsidRPr="00F3311E">
        <w:rPr>
          <w:rFonts w:eastAsiaTheme="minorHAnsi"/>
          <w:lang w:eastAsia="en-US"/>
        </w:rPr>
        <w:t>BUCHHEIM, 1982</w:t>
      </w:r>
      <w:r w:rsidRPr="00F3311E">
        <w:rPr>
          <w:rFonts w:eastAsiaTheme="minorHAnsi"/>
          <w:lang w:eastAsia="en-US"/>
        </w:rPr>
        <w:fldChar w:fldCharType="end"/>
      </w:r>
      <w:bookmarkEnd w:id="4"/>
      <w:r w:rsidRPr="00F3311E">
        <w:rPr>
          <w:rFonts w:eastAsiaTheme="minorHAnsi"/>
          <w:lang w:eastAsia="en-US"/>
        </w:rPr>
        <w:t xml:space="preserve">). Por essa razão, os resultados da extração de gordura das amostras </w:t>
      </w:r>
      <w:r w:rsidRPr="00F3311E">
        <w:rPr>
          <w:rFonts w:eastAsiaTheme="minorHAnsi"/>
          <w:lang w:eastAsia="en-US"/>
        </w:rPr>
        <w:lastRenderedPageBreak/>
        <w:t>de leite em pó podem, na maioria das vezes, representar a quantidade de gordura livre em vez da quantidade de gordura da superfície livre (</w:t>
      </w:r>
      <w:bookmarkStart w:id="5" w:name="bbib45"/>
      <w:r w:rsidRPr="00F3311E">
        <w:rPr>
          <w:rFonts w:eastAsiaTheme="minorHAnsi"/>
          <w:lang w:eastAsia="en-US"/>
        </w:rPr>
        <w:fldChar w:fldCharType="begin"/>
      </w:r>
      <w:r w:rsidRPr="00F3311E">
        <w:rPr>
          <w:rFonts w:eastAsiaTheme="minorHAnsi"/>
          <w:lang w:eastAsia="en-US"/>
        </w:rPr>
        <w:instrText xml:space="preserve"> HYPERLINK "https://www.sciencedirect.com/science/article/pii/B9780081005965211554" \l "bib45" </w:instrText>
      </w:r>
      <w:r w:rsidRPr="00F3311E">
        <w:rPr>
          <w:rFonts w:eastAsiaTheme="minorHAnsi"/>
          <w:lang w:eastAsia="en-US"/>
        </w:rPr>
        <w:fldChar w:fldCharType="separate"/>
      </w:r>
      <w:r w:rsidRPr="00F3311E">
        <w:rPr>
          <w:rFonts w:eastAsiaTheme="minorHAnsi"/>
          <w:lang w:eastAsia="en-US"/>
        </w:rPr>
        <w:t>KI</w:t>
      </w:r>
      <w:r w:rsidR="00AA6A59">
        <w:rPr>
          <w:rFonts w:eastAsiaTheme="minorHAnsi"/>
          <w:lang w:eastAsia="en-US"/>
        </w:rPr>
        <w:t>M;</w:t>
      </w:r>
      <w:r w:rsidR="00AA6A59" w:rsidRPr="00AA6A59">
        <w:t xml:space="preserve"> </w:t>
      </w:r>
      <w:r w:rsidR="00AA6A59" w:rsidRPr="00F3311E">
        <w:t>DONG; PEARCE, 2005</w:t>
      </w:r>
      <w:r w:rsidR="00AA6A59">
        <w:t>b</w:t>
      </w:r>
      <w:r w:rsidRPr="00F3311E">
        <w:rPr>
          <w:rFonts w:eastAsiaTheme="minorHAnsi"/>
          <w:lang w:eastAsia="en-US"/>
        </w:rPr>
        <w:t>).</w:t>
      </w:r>
      <w:r w:rsidRPr="00F3311E">
        <w:rPr>
          <w:rFonts w:eastAsiaTheme="minorHAnsi"/>
          <w:lang w:eastAsia="en-US"/>
        </w:rPr>
        <w:fldChar w:fldCharType="end"/>
      </w:r>
      <w:bookmarkEnd w:id="5"/>
      <w:r w:rsidRPr="00F3311E">
        <w:rPr>
          <w:rFonts w:eastAsiaTheme="minorHAnsi"/>
          <w:lang w:eastAsia="en-US"/>
        </w:rPr>
        <w:t xml:space="preserve">  </w:t>
      </w:r>
    </w:p>
    <w:p w14:paraId="5D801155" w14:textId="4212B7F6" w:rsidR="0005671A"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Nesse sentido para caracterizar amostras de pós quando a gordura superficial comumente utiliza-se análise espectroscópica de fotoelétrons de raios X (XPS), também referida como espectroscopia de elétrons para análise química</w:t>
      </w:r>
      <w:r w:rsidR="0049794F">
        <w:rPr>
          <w:rFonts w:eastAsiaTheme="minorHAnsi"/>
          <w:lang w:eastAsia="en-US"/>
        </w:rPr>
        <w:t>, neste contexto</w:t>
      </w:r>
      <w:r w:rsidRPr="00F3311E">
        <w:rPr>
          <w:rFonts w:eastAsiaTheme="minorHAnsi"/>
          <w:lang w:eastAsia="en-US"/>
        </w:rPr>
        <w:t xml:space="preserve"> é o método predominante para quantificar a composição química superficial de partículas de leite (GAIANI et al., 20</w:t>
      </w:r>
      <w:r w:rsidR="001F2C4E">
        <w:rPr>
          <w:rFonts w:eastAsiaTheme="minorHAnsi"/>
          <w:lang w:eastAsia="en-US"/>
        </w:rPr>
        <w:t>10</w:t>
      </w:r>
      <w:r w:rsidRPr="00F3311E">
        <w:rPr>
          <w:rFonts w:eastAsiaTheme="minorHAnsi"/>
          <w:lang w:eastAsia="en-US"/>
        </w:rPr>
        <w:t xml:space="preserve">; </w:t>
      </w:r>
      <w:hyperlink r:id="rId9" w:anchor="bib61" w:history="1">
        <w:r w:rsidRPr="00F3311E">
          <w:rPr>
            <w:rFonts w:eastAsiaTheme="minorHAnsi"/>
            <w:lang w:eastAsia="en-US"/>
          </w:rPr>
          <w:t>MURRIETA-PAZOS et al., 2012</w:t>
        </w:r>
      </w:hyperlink>
      <w:r w:rsidRPr="00F3311E">
        <w:rPr>
          <w:rFonts w:eastAsiaTheme="minorHAnsi"/>
          <w:lang w:eastAsia="en-US"/>
        </w:rPr>
        <w:t>; WU et al., 2014; NIKOLOVA et al., 2014; NIKOLOVA et al., 2015; KELLY et al 2015). Nesta técnica de análise de superfície sensível, as amostras de pó são irradiadas com um feixe de raios X de um nível de energia bem definido sob alto vácuo, e elétrons são emitidos se sua </w:t>
      </w:r>
      <w:hyperlink r:id="rId10" w:tooltip="Saiba mais sobre a energia de ligação" w:history="1">
        <w:r w:rsidRPr="00F3311E">
          <w:rPr>
            <w:rFonts w:eastAsiaTheme="minorHAnsi"/>
            <w:lang w:eastAsia="en-US"/>
          </w:rPr>
          <w:t>energia de ligação</w:t>
        </w:r>
      </w:hyperlink>
      <w:r w:rsidRPr="00F3311E">
        <w:rPr>
          <w:rFonts w:eastAsiaTheme="minorHAnsi"/>
          <w:lang w:eastAsia="en-US"/>
        </w:rPr>
        <w:t> for ultrapassada pela energia do fóton (FOERSTER; WOO; SELOMULYA, 2017). Apesar d</w:t>
      </w:r>
      <w:r w:rsidR="008C5FD4">
        <w:rPr>
          <w:rFonts w:eastAsiaTheme="minorHAnsi"/>
          <w:lang w:eastAsia="en-US"/>
        </w:rPr>
        <w:t>a técnica</w:t>
      </w:r>
      <w:r w:rsidRPr="00F3311E">
        <w:rPr>
          <w:rFonts w:eastAsiaTheme="minorHAnsi"/>
          <w:lang w:eastAsia="en-US"/>
        </w:rPr>
        <w:t xml:space="preserve"> não detectar a gordura livre, ela é capaz de determina</w:t>
      </w:r>
      <w:r w:rsidR="006A0514">
        <w:rPr>
          <w:rFonts w:eastAsiaTheme="minorHAnsi"/>
          <w:lang w:eastAsia="en-US"/>
        </w:rPr>
        <w:t>r</w:t>
      </w:r>
      <w:r w:rsidRPr="00F3311E">
        <w:rPr>
          <w:rFonts w:eastAsiaTheme="minorHAnsi"/>
          <w:lang w:eastAsia="en-US"/>
        </w:rPr>
        <w:t>a composição superficial do pó que gera</w:t>
      </w:r>
      <w:r w:rsidR="0049794F">
        <w:rPr>
          <w:rFonts w:eastAsiaTheme="minorHAnsi"/>
          <w:lang w:eastAsia="en-US"/>
        </w:rPr>
        <w:t>lmente é rica por lipídeos</w:t>
      </w:r>
      <w:r w:rsidRPr="00F3311E">
        <w:rPr>
          <w:rFonts w:eastAsiaTheme="minorHAnsi"/>
          <w:lang w:eastAsia="en-US"/>
        </w:rPr>
        <w:t>. Como grande parte da gordura se acumula na superfície</w:t>
      </w:r>
      <w:r w:rsidR="00870E3C">
        <w:rPr>
          <w:rFonts w:eastAsiaTheme="minorHAnsi"/>
          <w:lang w:eastAsia="en-US"/>
        </w:rPr>
        <w:t>,</w:t>
      </w:r>
      <w:r w:rsidRPr="00F3311E">
        <w:rPr>
          <w:rFonts w:eastAsiaTheme="minorHAnsi"/>
          <w:lang w:eastAsia="en-US"/>
        </w:rPr>
        <w:t xml:space="preserve"> consequentemente junto a ela estará a gordura livre. É de grande importância medir adequadamente a composição superficial de pós lácteos, a fim de prever suas propriedades de uso, pois quanto maior o teor de gordura na superfície maior será o teor de gordura livre e pior qualidade será </w:t>
      </w:r>
      <w:r w:rsidR="00367DD6">
        <w:rPr>
          <w:rFonts w:eastAsiaTheme="minorHAnsi"/>
          <w:lang w:eastAsia="en-US"/>
        </w:rPr>
        <w:t xml:space="preserve">a qualidade </w:t>
      </w:r>
      <w:r w:rsidRPr="00F3311E">
        <w:rPr>
          <w:rFonts w:eastAsiaTheme="minorHAnsi"/>
          <w:lang w:eastAsia="en-US"/>
        </w:rPr>
        <w:t>do pó.</w:t>
      </w:r>
    </w:p>
    <w:p w14:paraId="03257389" w14:textId="1278A56C" w:rsidR="00925646" w:rsidRPr="00925646" w:rsidRDefault="00925646" w:rsidP="004551BD">
      <w:pPr>
        <w:spacing w:after="0" w:line="360" w:lineRule="auto"/>
        <w:ind w:firstLine="708"/>
        <w:jc w:val="both"/>
        <w:rPr>
          <w:rFonts w:ascii="Times New Roman" w:hAnsi="Times New Roman" w:cs="Times New Roman"/>
          <w:sz w:val="24"/>
          <w:szCs w:val="24"/>
        </w:rPr>
      </w:pPr>
      <w:r w:rsidRPr="00925646">
        <w:rPr>
          <w:rFonts w:ascii="Times New Roman" w:hAnsi="Times New Roman" w:cs="Times New Roman"/>
          <w:sz w:val="24"/>
          <w:szCs w:val="24"/>
        </w:rPr>
        <w:t>Na maioria dos casos, 'gordura livre' é considerado um defeito. A exceção é onde 'gordura livre' é necessária para uma aplicação específica, por exemplo, fabricação de chocolate. Uma das influências mais críticas da 'gordura livre' é o teor de umidade do pó. Se a umidade for muito baixa (&lt;</w:t>
      </w:r>
      <w:r w:rsidR="005A46C3">
        <w:rPr>
          <w:rFonts w:ascii="Times New Roman" w:hAnsi="Times New Roman" w:cs="Times New Roman"/>
          <w:sz w:val="24"/>
          <w:szCs w:val="24"/>
        </w:rPr>
        <w:t xml:space="preserve"> </w:t>
      </w:r>
      <w:r w:rsidRPr="00925646">
        <w:rPr>
          <w:rFonts w:ascii="Times New Roman" w:hAnsi="Times New Roman" w:cs="Times New Roman"/>
          <w:sz w:val="24"/>
          <w:szCs w:val="24"/>
        </w:rPr>
        <w:t>2</w:t>
      </w:r>
      <w:r w:rsidR="00C70BAE">
        <w:rPr>
          <w:rFonts w:ascii="Times New Roman" w:hAnsi="Times New Roman" w:cs="Times New Roman"/>
          <w:sz w:val="24"/>
          <w:szCs w:val="24"/>
        </w:rPr>
        <w:t>,</w:t>
      </w:r>
      <w:r w:rsidRPr="00925646">
        <w:rPr>
          <w:rFonts w:ascii="Times New Roman" w:hAnsi="Times New Roman" w:cs="Times New Roman"/>
          <w:sz w:val="24"/>
          <w:szCs w:val="24"/>
        </w:rPr>
        <w:t>5%), a 'gordura livre' aumenta e diminui à medida que o teor de umidade aumenta de 2</w:t>
      </w:r>
      <w:r w:rsidR="00C70BAE">
        <w:rPr>
          <w:rFonts w:ascii="Times New Roman" w:hAnsi="Times New Roman" w:cs="Times New Roman"/>
          <w:sz w:val="24"/>
          <w:szCs w:val="24"/>
        </w:rPr>
        <w:t>,</w:t>
      </w:r>
      <w:r w:rsidRPr="00925646">
        <w:rPr>
          <w:rFonts w:ascii="Times New Roman" w:hAnsi="Times New Roman" w:cs="Times New Roman"/>
          <w:sz w:val="24"/>
          <w:szCs w:val="24"/>
        </w:rPr>
        <w:t>5 para 4</w:t>
      </w:r>
      <w:r w:rsidR="00C70BAE">
        <w:rPr>
          <w:rFonts w:ascii="Times New Roman" w:hAnsi="Times New Roman" w:cs="Times New Roman"/>
          <w:sz w:val="24"/>
          <w:szCs w:val="24"/>
        </w:rPr>
        <w:t xml:space="preserve"> a </w:t>
      </w:r>
      <w:r w:rsidRPr="00925646">
        <w:rPr>
          <w:rFonts w:ascii="Times New Roman" w:hAnsi="Times New Roman" w:cs="Times New Roman"/>
          <w:sz w:val="24"/>
          <w:szCs w:val="24"/>
        </w:rPr>
        <w:t>5%, mas aumenta nov</w:t>
      </w:r>
      <w:r>
        <w:rPr>
          <w:rFonts w:ascii="Times New Roman" w:hAnsi="Times New Roman" w:cs="Times New Roman"/>
          <w:sz w:val="24"/>
          <w:szCs w:val="24"/>
        </w:rPr>
        <w:t xml:space="preserve">amente se o teor de umidade for superior a 6 </w:t>
      </w:r>
      <w:r w:rsidR="00C70BAE">
        <w:rPr>
          <w:rFonts w:ascii="Times New Roman" w:hAnsi="Times New Roman" w:cs="Times New Roman"/>
          <w:sz w:val="24"/>
          <w:szCs w:val="24"/>
        </w:rPr>
        <w:t>a</w:t>
      </w:r>
      <w:r>
        <w:rPr>
          <w:rFonts w:ascii="Times New Roman" w:hAnsi="Times New Roman" w:cs="Times New Roman"/>
          <w:sz w:val="24"/>
          <w:szCs w:val="24"/>
        </w:rPr>
        <w:t xml:space="preserve"> 7%  </w:t>
      </w:r>
      <w:r w:rsidRPr="00925646">
        <w:rPr>
          <w:rFonts w:ascii="Times New Roman" w:hAnsi="Times New Roman" w:cs="Times New Roman"/>
          <w:sz w:val="24"/>
          <w:szCs w:val="24"/>
        </w:rPr>
        <w:t>(</w:t>
      </w:r>
      <w:r w:rsidR="001B7A15">
        <w:rPr>
          <w:rFonts w:ascii="Times New Roman" w:hAnsi="Times New Roman" w:cs="Times New Roman"/>
          <w:sz w:val="24"/>
          <w:szCs w:val="24"/>
        </w:rPr>
        <w:t>LI et al.</w:t>
      </w:r>
      <w:r w:rsidRPr="00925646">
        <w:rPr>
          <w:rFonts w:ascii="Times New Roman" w:hAnsi="Times New Roman" w:cs="Times New Roman"/>
          <w:sz w:val="24"/>
          <w:szCs w:val="24"/>
        </w:rPr>
        <w:t>, 20</w:t>
      </w:r>
      <w:r w:rsidR="001B7A15">
        <w:rPr>
          <w:rFonts w:ascii="Times New Roman" w:hAnsi="Times New Roman" w:cs="Times New Roman"/>
          <w:sz w:val="24"/>
          <w:szCs w:val="24"/>
        </w:rPr>
        <w:t>19</w:t>
      </w:r>
      <w:r w:rsidRPr="00925646">
        <w:rPr>
          <w:rFonts w:ascii="Times New Roman" w:hAnsi="Times New Roman" w:cs="Times New Roman"/>
          <w:sz w:val="24"/>
          <w:szCs w:val="24"/>
        </w:rPr>
        <w:t>).</w:t>
      </w:r>
    </w:p>
    <w:p w14:paraId="5F2E0292" w14:textId="77777777" w:rsidR="00925646" w:rsidRPr="00F3311E" w:rsidRDefault="00925646" w:rsidP="003C6E36">
      <w:pPr>
        <w:pStyle w:val="NormalWeb"/>
        <w:spacing w:before="0" w:beforeAutospacing="0" w:after="0" w:afterAutospacing="0" w:line="360" w:lineRule="auto"/>
        <w:jc w:val="both"/>
        <w:rPr>
          <w:rFonts w:eastAsiaTheme="minorHAnsi"/>
          <w:lang w:eastAsia="en-US"/>
        </w:rPr>
      </w:pPr>
    </w:p>
    <w:p w14:paraId="1525D52E" w14:textId="57ACCFEE" w:rsidR="00901AEC" w:rsidRDefault="009C4455" w:rsidP="003C6E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F3311E">
        <w:rPr>
          <w:rFonts w:ascii="Times New Roman" w:hAnsi="Times New Roman" w:cs="Times New Roman"/>
          <w:b/>
          <w:sz w:val="24"/>
          <w:szCs w:val="24"/>
        </w:rPr>
        <w:t>GORD</w:t>
      </w:r>
      <w:r>
        <w:rPr>
          <w:rFonts w:ascii="Times New Roman" w:hAnsi="Times New Roman" w:cs="Times New Roman"/>
          <w:b/>
          <w:sz w:val="24"/>
          <w:szCs w:val="24"/>
        </w:rPr>
        <w:t xml:space="preserve">URA SUPERFICIAL EM </w:t>
      </w:r>
      <w:r w:rsidRPr="00F3311E">
        <w:rPr>
          <w:rFonts w:ascii="Times New Roman" w:hAnsi="Times New Roman" w:cs="Times New Roman"/>
          <w:b/>
          <w:sz w:val="24"/>
          <w:szCs w:val="24"/>
        </w:rPr>
        <w:t>LÁCTEOS</w:t>
      </w:r>
      <w:r w:rsidR="006A0514">
        <w:rPr>
          <w:rFonts w:ascii="Times New Roman" w:hAnsi="Times New Roman" w:cs="Times New Roman"/>
          <w:b/>
          <w:sz w:val="24"/>
          <w:szCs w:val="24"/>
        </w:rPr>
        <w:t xml:space="preserve"> DESIDRATADO</w:t>
      </w:r>
    </w:p>
    <w:p w14:paraId="1AA79826" w14:textId="4B04CDB1" w:rsidR="009C4455" w:rsidRPr="00F3311E" w:rsidRDefault="009C4455" w:rsidP="003C6E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00870E3C">
        <w:rPr>
          <w:rFonts w:ascii="Times New Roman" w:hAnsi="Times New Roman" w:cs="Times New Roman"/>
          <w:b/>
          <w:sz w:val="24"/>
          <w:szCs w:val="24"/>
        </w:rPr>
        <w:t>Aspectos</w:t>
      </w:r>
      <w:r>
        <w:rPr>
          <w:rFonts w:ascii="Times New Roman" w:hAnsi="Times New Roman" w:cs="Times New Roman"/>
          <w:b/>
          <w:sz w:val="24"/>
          <w:szCs w:val="24"/>
        </w:rPr>
        <w:t xml:space="preserve"> indesejáveis</w:t>
      </w:r>
    </w:p>
    <w:p w14:paraId="321C511B" w14:textId="2E0F03A8" w:rsidR="007826B9" w:rsidRPr="00F3311E" w:rsidRDefault="007826B9"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 xml:space="preserve">A camada hidrofóbica formada devido ao acúmulo de gordura torna as partículas de pó hidrofóbicas dificultando a hidratação do pó, além disso a gordura livre na superfície é um fácil alvo para a oxidação, podendo levar o produto a rancidez hidrolítica, aumento de viscosidade, redução das características de reconstituição (molhabilidade, penetrabilidade, dispersabilidade e solubilidade) e perda de qualidade do produto etc (PISECKY, </w:t>
      </w:r>
      <w:r w:rsidR="008104BB">
        <w:rPr>
          <w:rFonts w:eastAsiaTheme="minorHAnsi"/>
          <w:lang w:eastAsia="en-US"/>
        </w:rPr>
        <w:t>2012</w:t>
      </w:r>
      <w:r w:rsidRPr="00F3311E">
        <w:rPr>
          <w:rFonts w:eastAsiaTheme="minorHAnsi"/>
          <w:lang w:eastAsia="en-US"/>
        </w:rPr>
        <w:t>; VEGA; ROOS, 2006; KIM</w:t>
      </w:r>
      <w:r w:rsidR="00AA6A59">
        <w:rPr>
          <w:rFonts w:eastAsiaTheme="minorHAnsi"/>
          <w:lang w:eastAsia="en-US"/>
        </w:rPr>
        <w:t>;</w:t>
      </w:r>
      <w:r w:rsidRPr="00F3311E">
        <w:rPr>
          <w:rFonts w:eastAsiaTheme="minorHAnsi"/>
          <w:lang w:eastAsia="en-US"/>
        </w:rPr>
        <w:t xml:space="preserve"> </w:t>
      </w:r>
      <w:r w:rsidR="00AA6A59" w:rsidRPr="00F3311E">
        <w:t>DONG; PEARCE, 2005</w:t>
      </w:r>
      <w:r w:rsidR="00AA6A59">
        <w:t>;</w:t>
      </w:r>
      <w:r w:rsidRPr="00F3311E">
        <w:rPr>
          <w:rFonts w:eastAsiaTheme="minorHAnsi"/>
          <w:lang w:eastAsia="en-US"/>
        </w:rPr>
        <w:t xml:space="preserve"> 2005</w:t>
      </w:r>
      <w:r w:rsidR="00AA6A59">
        <w:rPr>
          <w:rFonts w:eastAsiaTheme="minorHAnsi"/>
          <w:lang w:eastAsia="en-US"/>
        </w:rPr>
        <w:t>b</w:t>
      </w:r>
      <w:r w:rsidRPr="00F3311E">
        <w:rPr>
          <w:rFonts w:eastAsiaTheme="minorHAnsi"/>
          <w:lang w:eastAsia="en-US"/>
        </w:rPr>
        <w:t xml:space="preserve">; NIJDAM; LANGRISH, 2006). </w:t>
      </w:r>
    </w:p>
    <w:p w14:paraId="09D6C3E3" w14:textId="5F7C6041" w:rsidR="00F3311E"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lastRenderedPageBreak/>
        <w:t xml:space="preserve">A segregação de componentes do leite em pó é sistematicamente observada entre a superfície e o núcleo, onde a gordura migra preferencialmente para a </w:t>
      </w:r>
      <w:r w:rsidR="000B3D5C" w:rsidRPr="00F3311E">
        <w:rPr>
          <w:rFonts w:eastAsiaTheme="minorHAnsi"/>
          <w:lang w:eastAsia="en-US"/>
        </w:rPr>
        <w:t>superfície</w:t>
      </w:r>
      <w:r w:rsidRPr="00F3311E">
        <w:rPr>
          <w:rFonts w:eastAsiaTheme="minorHAnsi"/>
          <w:lang w:eastAsia="en-US"/>
        </w:rPr>
        <w:t xml:space="preserve"> afetando fortemente as propriedades do pó.  (NIKOLOVA et al., 2015). O acúmulo de gordura na superfície do pó não é desejado, atribuindo ao pó algumas características </w:t>
      </w:r>
      <w:r w:rsidR="000B3D5C" w:rsidRPr="00F3311E">
        <w:rPr>
          <w:rFonts w:eastAsiaTheme="minorHAnsi"/>
          <w:lang w:eastAsia="en-US"/>
        </w:rPr>
        <w:t>indesejáveis</w:t>
      </w:r>
      <w:r w:rsidRPr="00F3311E">
        <w:rPr>
          <w:rFonts w:eastAsiaTheme="minorHAnsi"/>
          <w:lang w:eastAsia="en-US"/>
        </w:rPr>
        <w:t>, como dificuldade de reconstituição, aumento da taxa de oxidação de lipídios, aumento da viscosidade, perdas do produto entre outros (</w:t>
      </w:r>
      <w:hyperlink r:id="rId11" w:anchor="bib19" w:history="1">
        <w:r w:rsidR="00AA6A59">
          <w:rPr>
            <w:rFonts w:eastAsiaTheme="minorHAnsi"/>
            <w:lang w:eastAsia="en-US"/>
          </w:rPr>
          <w:t xml:space="preserve">KIM; </w:t>
        </w:r>
        <w:r w:rsidR="00AA6A59" w:rsidRPr="00F3311E">
          <w:t>DONG; PEARCE</w:t>
        </w:r>
        <w:r w:rsidR="00AA6A59" w:rsidRPr="00F3311E">
          <w:rPr>
            <w:rFonts w:eastAsiaTheme="minorHAnsi"/>
            <w:lang w:eastAsia="en-US"/>
          </w:rPr>
          <w:t xml:space="preserve"> 2005a</w:t>
        </w:r>
      </w:hyperlink>
      <w:r w:rsidR="00AA6A59" w:rsidRPr="00F3311E">
        <w:rPr>
          <w:rFonts w:eastAsiaTheme="minorHAnsi"/>
          <w:lang w:eastAsia="en-US"/>
        </w:rPr>
        <w:t> , </w:t>
      </w:r>
      <w:hyperlink r:id="rId12" w:anchor="bib20" w:history="1">
        <w:r w:rsidR="00AA6A59">
          <w:rPr>
            <w:rFonts w:eastAsiaTheme="minorHAnsi"/>
            <w:lang w:eastAsia="en-US"/>
          </w:rPr>
          <w:t xml:space="preserve">KIM </w:t>
        </w:r>
        <w:r w:rsidR="00AA6A59" w:rsidRPr="00F3311E">
          <w:t>DONG; PEARCE</w:t>
        </w:r>
        <w:r w:rsidR="00AA6A59" w:rsidRPr="00F3311E">
          <w:rPr>
            <w:rFonts w:eastAsiaTheme="minorHAnsi"/>
            <w:lang w:eastAsia="en-US"/>
          </w:rPr>
          <w:t>, 2005b</w:t>
        </w:r>
      </w:hyperlink>
      <w:r w:rsidR="00AA6A59">
        <w:rPr>
          <w:rFonts w:eastAsiaTheme="minorHAnsi"/>
          <w:lang w:eastAsia="en-US"/>
        </w:rPr>
        <w:t>;</w:t>
      </w:r>
      <w:r w:rsidRPr="00F3311E">
        <w:rPr>
          <w:rFonts w:eastAsiaTheme="minorHAnsi"/>
          <w:lang w:eastAsia="en-US"/>
        </w:rPr>
        <w:t> </w:t>
      </w:r>
      <w:bookmarkStart w:id="6" w:name="bbib9"/>
      <w:r w:rsidR="00AA6A59" w:rsidRPr="00F3311E">
        <w:rPr>
          <w:rFonts w:eastAsiaTheme="minorHAnsi"/>
          <w:lang w:eastAsia="en-US"/>
        </w:rPr>
        <w:fldChar w:fldCharType="begin"/>
      </w:r>
      <w:r w:rsidR="00AA6A59" w:rsidRPr="00F3311E">
        <w:rPr>
          <w:rFonts w:eastAsiaTheme="minorHAnsi"/>
          <w:lang w:eastAsia="en-US"/>
        </w:rPr>
        <w:instrText xml:space="preserve"> HYPERLINK "https://www.sciencedirect.com/science/article/pii/S0958694615001363" \l "bib44" </w:instrText>
      </w:r>
      <w:r w:rsidR="00AA6A59" w:rsidRPr="00F3311E">
        <w:rPr>
          <w:rFonts w:eastAsiaTheme="minorHAnsi"/>
          <w:lang w:eastAsia="en-US"/>
        </w:rPr>
        <w:fldChar w:fldCharType="separate"/>
      </w:r>
      <w:r w:rsidR="00AA6A59" w:rsidRPr="00F3311E">
        <w:rPr>
          <w:rFonts w:eastAsiaTheme="minorHAnsi"/>
          <w:lang w:eastAsia="en-US"/>
        </w:rPr>
        <w:t>VIGNOLLES, et al</w:t>
      </w:r>
      <w:r w:rsidR="001F2C4E">
        <w:rPr>
          <w:rFonts w:eastAsiaTheme="minorHAnsi"/>
          <w:lang w:eastAsia="en-US"/>
        </w:rPr>
        <w:t>.</w:t>
      </w:r>
      <w:r w:rsidR="00AA6A59" w:rsidRPr="00F3311E">
        <w:rPr>
          <w:rFonts w:eastAsiaTheme="minorHAnsi"/>
          <w:lang w:eastAsia="en-US"/>
        </w:rPr>
        <w:t>, 2007</w:t>
      </w:r>
      <w:r w:rsidR="00AA6A59" w:rsidRPr="00F3311E">
        <w:rPr>
          <w:rFonts w:eastAsiaTheme="minorHAnsi"/>
          <w:lang w:eastAsia="en-US"/>
        </w:rPr>
        <w:fldChar w:fldCharType="end"/>
      </w:r>
      <w:r w:rsidR="00AA6A59">
        <w:rPr>
          <w:rFonts w:eastAsiaTheme="minorHAnsi"/>
          <w:lang w:eastAsia="en-US"/>
        </w:rPr>
        <w:t xml:space="preserve">; KIM; CHEN; PEARCE, 2009; </w:t>
      </w:r>
      <w:hyperlink r:id="rId13" w:anchor="bib9" w:history="1">
        <w:r w:rsidR="00AA6A59" w:rsidRPr="00F3311E">
          <w:rPr>
            <w:rFonts w:eastAsiaTheme="minorHAnsi"/>
            <w:lang w:eastAsia="en-US"/>
          </w:rPr>
          <w:t xml:space="preserve">GAIANI </w:t>
        </w:r>
        <w:r w:rsidR="001F2C4E">
          <w:rPr>
            <w:rFonts w:eastAsiaTheme="minorHAnsi"/>
            <w:lang w:eastAsia="en-US"/>
          </w:rPr>
          <w:t>et al.</w:t>
        </w:r>
        <w:r w:rsidR="00AA6A59" w:rsidRPr="00F3311E">
          <w:rPr>
            <w:rFonts w:eastAsiaTheme="minorHAnsi"/>
            <w:lang w:eastAsia="en-US"/>
          </w:rPr>
          <w:t>., 2010</w:t>
        </w:r>
      </w:hyperlink>
      <w:r w:rsidR="00AA6A59">
        <w:rPr>
          <w:rFonts w:eastAsiaTheme="minorHAnsi"/>
          <w:lang w:eastAsia="en-US"/>
        </w:rPr>
        <w:t xml:space="preserve">; </w:t>
      </w:r>
      <w:r w:rsidRPr="00F3311E">
        <w:rPr>
          <w:rFonts w:eastAsiaTheme="minorHAnsi"/>
          <w:lang w:eastAsia="en-US"/>
        </w:rPr>
        <w:t>MURRIETA-PAZOS et al., 2012</w:t>
      </w:r>
      <w:bookmarkEnd w:id="6"/>
      <w:r w:rsidR="00AA6A59">
        <w:rPr>
          <w:rFonts w:eastAsiaTheme="minorHAnsi"/>
          <w:lang w:eastAsia="en-US"/>
        </w:rPr>
        <w:t>)</w:t>
      </w:r>
    </w:p>
    <w:p w14:paraId="7184D7B9" w14:textId="373E5DC2" w:rsidR="009C4455" w:rsidRPr="009C4455" w:rsidRDefault="009C4455" w:rsidP="003C6E36">
      <w:pPr>
        <w:pStyle w:val="NormalWeb"/>
        <w:spacing w:before="0" w:beforeAutospacing="0" w:after="0" w:afterAutospacing="0" w:line="360" w:lineRule="auto"/>
        <w:jc w:val="both"/>
        <w:rPr>
          <w:rFonts w:eastAsiaTheme="minorHAnsi"/>
          <w:b/>
          <w:lang w:eastAsia="en-US"/>
        </w:rPr>
      </w:pPr>
      <w:r w:rsidRPr="009C4455">
        <w:rPr>
          <w:rFonts w:eastAsiaTheme="minorHAnsi"/>
          <w:b/>
          <w:lang w:eastAsia="en-US"/>
        </w:rPr>
        <w:t>2.4.2</w:t>
      </w:r>
      <w:r w:rsidR="00F822AF">
        <w:rPr>
          <w:rFonts w:eastAsiaTheme="minorHAnsi"/>
          <w:b/>
          <w:lang w:eastAsia="en-US"/>
        </w:rPr>
        <w:t xml:space="preserve"> Ocorrências </w:t>
      </w:r>
      <w:r w:rsidRPr="009C4455">
        <w:rPr>
          <w:rFonts w:eastAsiaTheme="minorHAnsi"/>
          <w:b/>
          <w:lang w:eastAsia="en-US"/>
        </w:rPr>
        <w:t>sobre acúmulo de gordura superficial</w:t>
      </w:r>
    </w:p>
    <w:p w14:paraId="0F2583C8" w14:textId="4F7EACB5" w:rsidR="00F3311E" w:rsidRPr="00F3311E"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O acúmulo de gordura na superfície tem sido documentado por diversos estudos (GAIANI et al., 20</w:t>
      </w:r>
      <w:r w:rsidR="001F2C4E">
        <w:rPr>
          <w:rFonts w:eastAsiaTheme="minorHAnsi"/>
          <w:lang w:eastAsia="en-US"/>
        </w:rPr>
        <w:t>10</w:t>
      </w:r>
      <w:r w:rsidRPr="00F3311E">
        <w:rPr>
          <w:rFonts w:eastAsiaTheme="minorHAnsi"/>
          <w:lang w:eastAsia="en-US"/>
        </w:rPr>
        <w:t xml:space="preserve">; </w:t>
      </w:r>
      <w:hyperlink r:id="rId14" w:anchor="bib61" w:history="1">
        <w:r w:rsidRPr="00F3311E">
          <w:rPr>
            <w:rFonts w:eastAsiaTheme="minorHAnsi"/>
            <w:lang w:eastAsia="en-US"/>
          </w:rPr>
          <w:t>MURRIETA-PAZOS et al., 2012</w:t>
        </w:r>
      </w:hyperlink>
      <w:r w:rsidRPr="00F3311E">
        <w:rPr>
          <w:rFonts w:eastAsiaTheme="minorHAnsi"/>
          <w:lang w:eastAsia="en-US"/>
        </w:rPr>
        <w:t xml:space="preserve">; WU et al., 2014; NIKOLOVA et al., 2014; NIKOLOVA et al., 2015; KELLY et al 2015) trazendo consequências negativas para qualidade do pó. </w:t>
      </w:r>
    </w:p>
    <w:p w14:paraId="2D3D387E" w14:textId="6B7A09F1" w:rsidR="00F3311E" w:rsidRPr="00F3311E"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KIM et al (2005</w:t>
      </w:r>
      <w:r w:rsidR="00CF2DE7">
        <w:rPr>
          <w:rFonts w:eastAsiaTheme="minorHAnsi"/>
          <w:lang w:eastAsia="en-US"/>
        </w:rPr>
        <w:t>a</w:t>
      </w:r>
      <w:r w:rsidRPr="00F3311E">
        <w:rPr>
          <w:rFonts w:eastAsiaTheme="minorHAnsi"/>
          <w:lang w:eastAsia="en-US"/>
        </w:rPr>
        <w:t>)</w:t>
      </w:r>
      <w:r w:rsidR="009C4455">
        <w:rPr>
          <w:rFonts w:eastAsiaTheme="minorHAnsi"/>
          <w:lang w:eastAsia="en-US"/>
        </w:rPr>
        <w:t xml:space="preserve"> investigaram a composição em massa e a composição superficial de pós lácteos</w:t>
      </w:r>
      <w:r w:rsidRPr="00F3311E">
        <w:rPr>
          <w:rFonts w:eastAsiaTheme="minorHAnsi"/>
          <w:lang w:eastAsia="en-US"/>
        </w:rPr>
        <w:t xml:space="preserve"> (Tabela 1.). </w:t>
      </w:r>
    </w:p>
    <w:p w14:paraId="20AD1364" w14:textId="665F8B34" w:rsidR="00F3311E" w:rsidRPr="00B52186" w:rsidRDefault="00F3311E" w:rsidP="003C6E36">
      <w:pPr>
        <w:pStyle w:val="NormalWeb"/>
        <w:spacing w:before="0" w:beforeAutospacing="0" w:after="0" w:afterAutospacing="0" w:line="360" w:lineRule="auto"/>
        <w:jc w:val="both"/>
        <w:rPr>
          <w:rFonts w:eastAsiaTheme="minorHAnsi"/>
          <w:lang w:eastAsia="en-US"/>
        </w:rPr>
      </w:pPr>
      <w:r w:rsidRPr="004551BD">
        <w:rPr>
          <w:rFonts w:eastAsiaTheme="minorHAnsi"/>
          <w:b/>
          <w:lang w:eastAsia="en-US"/>
        </w:rPr>
        <w:t>Tabela1</w:t>
      </w:r>
      <w:r w:rsidRPr="00F3311E">
        <w:rPr>
          <w:rFonts w:eastAsiaTheme="minorHAnsi"/>
          <w:lang w:eastAsia="en-US"/>
        </w:rPr>
        <w:t xml:space="preserve">. Composição em massa e composição superficial dos </w:t>
      </w:r>
      <w:r w:rsidR="007D734D">
        <w:rPr>
          <w:rFonts w:eastAsiaTheme="minorHAnsi"/>
          <w:lang w:eastAsia="en-US"/>
        </w:rPr>
        <w:t xml:space="preserve">pós </w:t>
      </w:r>
      <w:r w:rsidR="007D734D" w:rsidRPr="00F3311E">
        <w:rPr>
          <w:rFonts w:eastAsiaTheme="minorHAnsi"/>
          <w:lang w:eastAsia="en-US"/>
        </w:rPr>
        <w:t>industriais</w:t>
      </w:r>
      <w:r w:rsidRPr="00F3311E">
        <w:rPr>
          <w:rFonts w:eastAsiaTheme="minorHAnsi"/>
          <w:lang w:eastAsia="en-US"/>
        </w:rPr>
        <w:t xml:space="preserve"> lácteos secos por </w:t>
      </w:r>
      <w:r w:rsidRPr="00B52186">
        <w:rPr>
          <w:rFonts w:eastAsiaTheme="minorHAnsi"/>
          <w:lang w:eastAsia="en-US"/>
        </w:rPr>
        <w:t>pulverização (assumindo que os pós lácteos são compostos por três componentes principais: lactose, proteína e gordura)</w:t>
      </w:r>
    </w:p>
    <w:tbl>
      <w:tblPr>
        <w:tblW w:w="5000" w:type="pct"/>
        <w:tblCellMar>
          <w:left w:w="70" w:type="dxa"/>
          <w:right w:w="70" w:type="dxa"/>
        </w:tblCellMar>
        <w:tblLook w:val="04A0" w:firstRow="1" w:lastRow="0" w:firstColumn="1" w:lastColumn="0" w:noHBand="0" w:noVBand="1"/>
      </w:tblPr>
      <w:tblGrid>
        <w:gridCol w:w="1060"/>
        <w:gridCol w:w="446"/>
        <w:gridCol w:w="147"/>
        <w:gridCol w:w="1058"/>
        <w:gridCol w:w="1361"/>
        <w:gridCol w:w="1210"/>
        <w:gridCol w:w="428"/>
        <w:gridCol w:w="151"/>
        <w:gridCol w:w="63"/>
        <w:gridCol w:w="1030"/>
        <w:gridCol w:w="1068"/>
        <w:gridCol w:w="1048"/>
      </w:tblGrid>
      <w:tr w:rsidR="00F3311E" w:rsidRPr="00B52186" w14:paraId="03813585" w14:textId="77777777" w:rsidTr="00F822AF">
        <w:trPr>
          <w:trHeight w:val="300"/>
        </w:trPr>
        <w:tc>
          <w:tcPr>
            <w:tcW w:w="584" w:type="pct"/>
            <w:tcBorders>
              <w:top w:val="single" w:sz="4" w:space="0" w:color="auto"/>
              <w:left w:val="nil"/>
              <w:bottom w:val="single" w:sz="4" w:space="0" w:color="auto"/>
              <w:right w:val="nil"/>
            </w:tcBorders>
            <w:shd w:val="clear" w:color="auto" w:fill="auto"/>
            <w:noWrap/>
            <w:vAlign w:val="center"/>
            <w:hideMark/>
          </w:tcPr>
          <w:p w14:paraId="2ACDA019"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Produtos</w:t>
            </w:r>
          </w:p>
        </w:tc>
        <w:tc>
          <w:tcPr>
            <w:tcW w:w="246" w:type="pct"/>
            <w:tcBorders>
              <w:top w:val="single" w:sz="4" w:space="0" w:color="auto"/>
              <w:left w:val="nil"/>
              <w:bottom w:val="single" w:sz="4" w:space="0" w:color="auto"/>
              <w:right w:val="nil"/>
            </w:tcBorders>
            <w:vAlign w:val="center"/>
          </w:tcPr>
          <w:p w14:paraId="2D839E79"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2317" w:type="pct"/>
            <w:gridSpan w:val="5"/>
            <w:tcBorders>
              <w:top w:val="single" w:sz="4" w:space="0" w:color="auto"/>
              <w:left w:val="nil"/>
              <w:bottom w:val="single" w:sz="4" w:space="0" w:color="auto"/>
              <w:right w:val="nil"/>
            </w:tcBorders>
            <w:shd w:val="clear" w:color="auto" w:fill="auto"/>
            <w:vAlign w:val="center"/>
            <w:hideMark/>
          </w:tcPr>
          <w:p w14:paraId="2D63550F" w14:textId="419BE462" w:rsidR="00F3311E" w:rsidRPr="00B52186" w:rsidRDefault="00F3311E" w:rsidP="005A46C3">
            <w:pPr>
              <w:spacing w:after="0" w:line="360" w:lineRule="auto"/>
              <w:jc w:val="center"/>
              <w:rPr>
                <w:rFonts w:ascii="Times New Roman" w:hAnsi="Times New Roman" w:cs="Times New Roman"/>
                <w:sz w:val="24"/>
                <w:szCs w:val="24"/>
              </w:rPr>
            </w:pPr>
            <w:r w:rsidRPr="00B52186">
              <w:rPr>
                <w:rFonts w:ascii="Times New Roman" w:hAnsi="Times New Roman" w:cs="Times New Roman"/>
                <w:sz w:val="24"/>
                <w:szCs w:val="24"/>
              </w:rPr>
              <w:t>Composição em massa</w:t>
            </w:r>
          </w:p>
          <w:p w14:paraId="56C2F6C4" w14:textId="1716D62A" w:rsidR="00F3311E" w:rsidRPr="00B52186" w:rsidRDefault="00F3311E" w:rsidP="005A46C3">
            <w:pPr>
              <w:spacing w:after="0" w:line="360" w:lineRule="auto"/>
              <w:jc w:val="center"/>
              <w:rPr>
                <w:rFonts w:ascii="Times New Roman" w:hAnsi="Times New Roman" w:cs="Times New Roman"/>
                <w:sz w:val="24"/>
                <w:szCs w:val="24"/>
              </w:rPr>
            </w:pPr>
            <w:r w:rsidRPr="00B52186">
              <w:rPr>
                <w:rFonts w:ascii="Times New Roman" w:hAnsi="Times New Roman" w:cs="Times New Roman"/>
                <w:sz w:val="24"/>
                <w:szCs w:val="24"/>
              </w:rPr>
              <w:t xml:space="preserve">(% em </w:t>
            </w:r>
            <w:r w:rsidR="005A46C3">
              <w:rPr>
                <w:rFonts w:ascii="Times New Roman" w:hAnsi="Times New Roman" w:cs="Times New Roman"/>
                <w:sz w:val="24"/>
                <w:szCs w:val="24"/>
              </w:rPr>
              <w:t>massa</w:t>
            </w:r>
            <w:r w:rsidRPr="00B52186">
              <w:rPr>
                <w:rFonts w:ascii="Times New Roman" w:hAnsi="Times New Roman" w:cs="Times New Roman"/>
                <w:sz w:val="24"/>
                <w:szCs w:val="24"/>
              </w:rPr>
              <w:t>)</w:t>
            </w:r>
          </w:p>
        </w:tc>
        <w:tc>
          <w:tcPr>
            <w:tcW w:w="118" w:type="pct"/>
            <w:gridSpan w:val="2"/>
            <w:tcBorders>
              <w:top w:val="single" w:sz="4" w:space="0" w:color="auto"/>
              <w:left w:val="nil"/>
              <w:bottom w:val="nil"/>
              <w:right w:val="nil"/>
            </w:tcBorders>
            <w:shd w:val="clear" w:color="auto" w:fill="auto"/>
            <w:vAlign w:val="center"/>
            <w:hideMark/>
          </w:tcPr>
          <w:p w14:paraId="1081A0A3" w14:textId="14956E3A" w:rsidR="00F3311E" w:rsidRPr="00B52186" w:rsidRDefault="00F3311E" w:rsidP="003C6E36">
            <w:pPr>
              <w:spacing w:after="0" w:line="360" w:lineRule="auto"/>
              <w:jc w:val="both"/>
              <w:rPr>
                <w:rFonts w:ascii="Times New Roman" w:hAnsi="Times New Roman" w:cs="Times New Roman"/>
                <w:sz w:val="24"/>
                <w:szCs w:val="24"/>
              </w:rPr>
            </w:pPr>
          </w:p>
        </w:tc>
        <w:tc>
          <w:tcPr>
            <w:tcW w:w="1736" w:type="pct"/>
            <w:gridSpan w:val="3"/>
            <w:tcBorders>
              <w:top w:val="single" w:sz="4" w:space="0" w:color="auto"/>
              <w:left w:val="nil"/>
              <w:bottom w:val="single" w:sz="4" w:space="0" w:color="auto"/>
              <w:right w:val="nil"/>
            </w:tcBorders>
            <w:shd w:val="clear" w:color="auto" w:fill="auto"/>
            <w:vAlign w:val="center"/>
            <w:hideMark/>
          </w:tcPr>
          <w:p w14:paraId="57FC421D"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Composição da superfície (%)</w:t>
            </w:r>
          </w:p>
        </w:tc>
      </w:tr>
      <w:tr w:rsidR="00F3311E" w:rsidRPr="00B52186" w14:paraId="006CE76D" w14:textId="77777777" w:rsidTr="00F822AF">
        <w:trPr>
          <w:trHeight w:val="300"/>
        </w:trPr>
        <w:tc>
          <w:tcPr>
            <w:tcW w:w="584" w:type="pct"/>
            <w:tcBorders>
              <w:top w:val="nil"/>
              <w:left w:val="nil"/>
              <w:bottom w:val="nil"/>
              <w:right w:val="nil"/>
            </w:tcBorders>
            <w:shd w:val="clear" w:color="auto" w:fill="auto"/>
            <w:noWrap/>
            <w:vAlign w:val="center"/>
            <w:hideMark/>
          </w:tcPr>
          <w:p w14:paraId="0EEEE0C6"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327" w:type="pct"/>
            <w:gridSpan w:val="2"/>
            <w:tcBorders>
              <w:top w:val="nil"/>
              <w:left w:val="nil"/>
              <w:bottom w:val="nil"/>
              <w:right w:val="nil"/>
            </w:tcBorders>
            <w:vAlign w:val="center"/>
          </w:tcPr>
          <w:p w14:paraId="7D31BAE8"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583" w:type="pct"/>
            <w:tcBorders>
              <w:top w:val="nil"/>
              <w:left w:val="nil"/>
              <w:bottom w:val="nil"/>
              <w:right w:val="nil"/>
            </w:tcBorders>
            <w:shd w:val="clear" w:color="auto" w:fill="auto"/>
            <w:noWrap/>
            <w:vAlign w:val="center"/>
            <w:hideMark/>
          </w:tcPr>
          <w:p w14:paraId="77DC5236"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Lactose</w:t>
            </w:r>
          </w:p>
        </w:tc>
        <w:tc>
          <w:tcPr>
            <w:tcW w:w="750" w:type="pct"/>
            <w:tcBorders>
              <w:top w:val="nil"/>
              <w:left w:val="nil"/>
              <w:bottom w:val="nil"/>
              <w:right w:val="nil"/>
            </w:tcBorders>
            <w:shd w:val="clear" w:color="auto" w:fill="auto"/>
            <w:noWrap/>
            <w:vAlign w:val="center"/>
            <w:hideMark/>
          </w:tcPr>
          <w:p w14:paraId="5A4ACC3D"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Proteína</w:t>
            </w:r>
          </w:p>
        </w:tc>
        <w:tc>
          <w:tcPr>
            <w:tcW w:w="667" w:type="pct"/>
            <w:tcBorders>
              <w:top w:val="nil"/>
              <w:left w:val="nil"/>
              <w:bottom w:val="nil"/>
              <w:right w:val="nil"/>
            </w:tcBorders>
            <w:shd w:val="clear" w:color="auto" w:fill="auto"/>
            <w:noWrap/>
            <w:vAlign w:val="center"/>
            <w:hideMark/>
          </w:tcPr>
          <w:p w14:paraId="028A2C49"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Gordura</w:t>
            </w:r>
          </w:p>
        </w:tc>
        <w:tc>
          <w:tcPr>
            <w:tcW w:w="319" w:type="pct"/>
            <w:gridSpan w:val="2"/>
            <w:tcBorders>
              <w:top w:val="nil"/>
              <w:left w:val="nil"/>
              <w:bottom w:val="nil"/>
              <w:right w:val="nil"/>
            </w:tcBorders>
            <w:shd w:val="clear" w:color="auto" w:fill="auto"/>
            <w:noWrap/>
            <w:vAlign w:val="center"/>
            <w:hideMark/>
          </w:tcPr>
          <w:p w14:paraId="09D1A41F"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603" w:type="pct"/>
            <w:gridSpan w:val="2"/>
            <w:tcBorders>
              <w:top w:val="nil"/>
              <w:left w:val="nil"/>
              <w:bottom w:val="nil"/>
              <w:right w:val="nil"/>
            </w:tcBorders>
            <w:shd w:val="clear" w:color="auto" w:fill="auto"/>
            <w:noWrap/>
            <w:vAlign w:val="center"/>
            <w:hideMark/>
          </w:tcPr>
          <w:p w14:paraId="4A91E433"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Lactose</w:t>
            </w:r>
          </w:p>
        </w:tc>
        <w:tc>
          <w:tcPr>
            <w:tcW w:w="589" w:type="pct"/>
            <w:tcBorders>
              <w:top w:val="nil"/>
              <w:left w:val="nil"/>
              <w:bottom w:val="nil"/>
              <w:right w:val="nil"/>
            </w:tcBorders>
            <w:shd w:val="clear" w:color="auto" w:fill="auto"/>
            <w:noWrap/>
            <w:vAlign w:val="center"/>
            <w:hideMark/>
          </w:tcPr>
          <w:p w14:paraId="59EC4611"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Proteína</w:t>
            </w:r>
          </w:p>
        </w:tc>
        <w:tc>
          <w:tcPr>
            <w:tcW w:w="577" w:type="pct"/>
            <w:tcBorders>
              <w:top w:val="nil"/>
              <w:left w:val="nil"/>
              <w:bottom w:val="nil"/>
              <w:right w:val="nil"/>
            </w:tcBorders>
            <w:shd w:val="clear" w:color="auto" w:fill="auto"/>
            <w:noWrap/>
            <w:vAlign w:val="center"/>
            <w:hideMark/>
          </w:tcPr>
          <w:p w14:paraId="5848EB04"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Gordura</w:t>
            </w:r>
          </w:p>
        </w:tc>
      </w:tr>
      <w:tr w:rsidR="00F3311E" w:rsidRPr="00B52186" w14:paraId="6F787B69" w14:textId="77777777" w:rsidTr="00F822AF">
        <w:trPr>
          <w:trHeight w:val="300"/>
        </w:trPr>
        <w:tc>
          <w:tcPr>
            <w:tcW w:w="584" w:type="pct"/>
            <w:tcBorders>
              <w:top w:val="nil"/>
              <w:left w:val="nil"/>
              <w:bottom w:val="nil"/>
              <w:right w:val="nil"/>
            </w:tcBorders>
            <w:shd w:val="clear" w:color="auto" w:fill="auto"/>
            <w:noWrap/>
            <w:vAlign w:val="center"/>
            <w:hideMark/>
          </w:tcPr>
          <w:p w14:paraId="6CF6F472"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LPD</w:t>
            </w:r>
          </w:p>
        </w:tc>
        <w:tc>
          <w:tcPr>
            <w:tcW w:w="327" w:type="pct"/>
            <w:gridSpan w:val="2"/>
            <w:tcBorders>
              <w:top w:val="nil"/>
              <w:left w:val="nil"/>
              <w:bottom w:val="nil"/>
              <w:right w:val="nil"/>
            </w:tcBorders>
            <w:vAlign w:val="center"/>
          </w:tcPr>
          <w:p w14:paraId="590CADED"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583" w:type="pct"/>
            <w:tcBorders>
              <w:top w:val="nil"/>
              <w:left w:val="nil"/>
              <w:bottom w:val="nil"/>
              <w:right w:val="nil"/>
            </w:tcBorders>
            <w:shd w:val="clear" w:color="auto" w:fill="auto"/>
            <w:noWrap/>
            <w:vAlign w:val="center"/>
            <w:hideMark/>
          </w:tcPr>
          <w:p w14:paraId="567953DC"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58</w:t>
            </w:r>
          </w:p>
        </w:tc>
        <w:tc>
          <w:tcPr>
            <w:tcW w:w="750" w:type="pct"/>
            <w:tcBorders>
              <w:top w:val="nil"/>
              <w:left w:val="nil"/>
              <w:bottom w:val="nil"/>
              <w:right w:val="nil"/>
            </w:tcBorders>
            <w:shd w:val="clear" w:color="auto" w:fill="auto"/>
            <w:noWrap/>
            <w:vAlign w:val="center"/>
            <w:hideMark/>
          </w:tcPr>
          <w:p w14:paraId="0792F4F1"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41</w:t>
            </w:r>
          </w:p>
        </w:tc>
        <w:tc>
          <w:tcPr>
            <w:tcW w:w="667" w:type="pct"/>
            <w:tcBorders>
              <w:top w:val="nil"/>
              <w:left w:val="nil"/>
              <w:bottom w:val="nil"/>
              <w:right w:val="nil"/>
            </w:tcBorders>
            <w:shd w:val="clear" w:color="auto" w:fill="auto"/>
            <w:noWrap/>
            <w:vAlign w:val="center"/>
            <w:hideMark/>
          </w:tcPr>
          <w:p w14:paraId="2BCB891C"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1</w:t>
            </w:r>
          </w:p>
        </w:tc>
        <w:tc>
          <w:tcPr>
            <w:tcW w:w="319" w:type="pct"/>
            <w:gridSpan w:val="2"/>
            <w:tcBorders>
              <w:top w:val="nil"/>
              <w:left w:val="nil"/>
              <w:bottom w:val="nil"/>
              <w:right w:val="nil"/>
            </w:tcBorders>
            <w:shd w:val="clear" w:color="auto" w:fill="auto"/>
            <w:noWrap/>
            <w:vAlign w:val="center"/>
            <w:hideMark/>
          </w:tcPr>
          <w:p w14:paraId="3A57BC8E"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603" w:type="pct"/>
            <w:gridSpan w:val="2"/>
            <w:tcBorders>
              <w:top w:val="nil"/>
              <w:left w:val="nil"/>
              <w:bottom w:val="nil"/>
              <w:right w:val="nil"/>
            </w:tcBorders>
            <w:shd w:val="clear" w:color="auto" w:fill="auto"/>
            <w:noWrap/>
            <w:vAlign w:val="center"/>
            <w:hideMark/>
          </w:tcPr>
          <w:p w14:paraId="52E97511"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36</w:t>
            </w:r>
          </w:p>
        </w:tc>
        <w:tc>
          <w:tcPr>
            <w:tcW w:w="589" w:type="pct"/>
            <w:tcBorders>
              <w:top w:val="nil"/>
              <w:left w:val="nil"/>
              <w:bottom w:val="nil"/>
              <w:right w:val="nil"/>
            </w:tcBorders>
            <w:shd w:val="clear" w:color="auto" w:fill="auto"/>
            <w:noWrap/>
            <w:vAlign w:val="center"/>
            <w:hideMark/>
          </w:tcPr>
          <w:p w14:paraId="613CF314"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46</w:t>
            </w:r>
          </w:p>
        </w:tc>
        <w:tc>
          <w:tcPr>
            <w:tcW w:w="577" w:type="pct"/>
            <w:tcBorders>
              <w:top w:val="nil"/>
              <w:left w:val="nil"/>
              <w:bottom w:val="nil"/>
              <w:right w:val="nil"/>
            </w:tcBorders>
            <w:shd w:val="clear" w:color="auto" w:fill="auto"/>
            <w:noWrap/>
            <w:vAlign w:val="center"/>
            <w:hideMark/>
          </w:tcPr>
          <w:p w14:paraId="7A46214D" w14:textId="44350261"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18</w:t>
            </w:r>
          </w:p>
        </w:tc>
      </w:tr>
      <w:tr w:rsidR="00F3311E" w:rsidRPr="00B52186" w14:paraId="0A22195D" w14:textId="77777777" w:rsidTr="00F822AF">
        <w:trPr>
          <w:trHeight w:val="300"/>
        </w:trPr>
        <w:tc>
          <w:tcPr>
            <w:tcW w:w="584" w:type="pct"/>
            <w:tcBorders>
              <w:top w:val="nil"/>
              <w:left w:val="nil"/>
              <w:bottom w:val="nil"/>
              <w:right w:val="nil"/>
            </w:tcBorders>
            <w:shd w:val="clear" w:color="auto" w:fill="auto"/>
            <w:noWrap/>
            <w:vAlign w:val="center"/>
            <w:hideMark/>
          </w:tcPr>
          <w:p w14:paraId="7C234F78"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LPI</w:t>
            </w:r>
          </w:p>
        </w:tc>
        <w:tc>
          <w:tcPr>
            <w:tcW w:w="327" w:type="pct"/>
            <w:gridSpan w:val="2"/>
            <w:tcBorders>
              <w:top w:val="nil"/>
              <w:left w:val="nil"/>
              <w:bottom w:val="nil"/>
              <w:right w:val="nil"/>
            </w:tcBorders>
            <w:vAlign w:val="center"/>
          </w:tcPr>
          <w:p w14:paraId="71ACB72F"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583" w:type="pct"/>
            <w:tcBorders>
              <w:top w:val="nil"/>
              <w:left w:val="nil"/>
              <w:bottom w:val="nil"/>
              <w:right w:val="nil"/>
            </w:tcBorders>
            <w:shd w:val="clear" w:color="auto" w:fill="auto"/>
            <w:noWrap/>
            <w:vAlign w:val="center"/>
            <w:hideMark/>
          </w:tcPr>
          <w:p w14:paraId="09FC8B60"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40</w:t>
            </w:r>
          </w:p>
        </w:tc>
        <w:tc>
          <w:tcPr>
            <w:tcW w:w="750" w:type="pct"/>
            <w:tcBorders>
              <w:top w:val="nil"/>
              <w:left w:val="nil"/>
              <w:bottom w:val="nil"/>
              <w:right w:val="nil"/>
            </w:tcBorders>
            <w:shd w:val="clear" w:color="auto" w:fill="auto"/>
            <w:noWrap/>
            <w:vAlign w:val="center"/>
            <w:hideMark/>
          </w:tcPr>
          <w:p w14:paraId="387B9ABF"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31</w:t>
            </w:r>
          </w:p>
        </w:tc>
        <w:tc>
          <w:tcPr>
            <w:tcW w:w="667" w:type="pct"/>
            <w:tcBorders>
              <w:top w:val="nil"/>
              <w:left w:val="nil"/>
              <w:bottom w:val="nil"/>
              <w:right w:val="nil"/>
            </w:tcBorders>
            <w:shd w:val="clear" w:color="auto" w:fill="auto"/>
            <w:noWrap/>
            <w:vAlign w:val="center"/>
            <w:hideMark/>
          </w:tcPr>
          <w:p w14:paraId="78EC660D"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29</w:t>
            </w:r>
          </w:p>
        </w:tc>
        <w:tc>
          <w:tcPr>
            <w:tcW w:w="319" w:type="pct"/>
            <w:gridSpan w:val="2"/>
            <w:tcBorders>
              <w:top w:val="nil"/>
              <w:left w:val="nil"/>
              <w:bottom w:val="nil"/>
              <w:right w:val="nil"/>
            </w:tcBorders>
            <w:shd w:val="clear" w:color="auto" w:fill="auto"/>
            <w:noWrap/>
            <w:vAlign w:val="center"/>
            <w:hideMark/>
          </w:tcPr>
          <w:p w14:paraId="20140AAB"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603" w:type="pct"/>
            <w:gridSpan w:val="2"/>
            <w:tcBorders>
              <w:top w:val="nil"/>
              <w:left w:val="nil"/>
              <w:bottom w:val="nil"/>
              <w:right w:val="nil"/>
            </w:tcBorders>
            <w:shd w:val="clear" w:color="auto" w:fill="auto"/>
            <w:noWrap/>
            <w:vAlign w:val="center"/>
            <w:hideMark/>
          </w:tcPr>
          <w:p w14:paraId="3BEA0508"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2</w:t>
            </w:r>
          </w:p>
        </w:tc>
        <w:tc>
          <w:tcPr>
            <w:tcW w:w="589" w:type="pct"/>
            <w:tcBorders>
              <w:top w:val="nil"/>
              <w:left w:val="nil"/>
              <w:bottom w:val="nil"/>
              <w:right w:val="nil"/>
            </w:tcBorders>
            <w:shd w:val="clear" w:color="auto" w:fill="auto"/>
            <w:noWrap/>
            <w:vAlign w:val="center"/>
            <w:hideMark/>
          </w:tcPr>
          <w:p w14:paraId="1BCFE59E"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w:t>
            </w:r>
          </w:p>
        </w:tc>
        <w:tc>
          <w:tcPr>
            <w:tcW w:w="577" w:type="pct"/>
            <w:tcBorders>
              <w:top w:val="nil"/>
              <w:left w:val="nil"/>
              <w:bottom w:val="nil"/>
              <w:right w:val="nil"/>
            </w:tcBorders>
            <w:shd w:val="clear" w:color="auto" w:fill="auto"/>
            <w:noWrap/>
            <w:vAlign w:val="center"/>
            <w:hideMark/>
          </w:tcPr>
          <w:p w14:paraId="11A88C7C"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98</w:t>
            </w:r>
          </w:p>
        </w:tc>
      </w:tr>
      <w:tr w:rsidR="00F3311E" w:rsidRPr="00B52186" w14:paraId="15FCA9E3" w14:textId="77777777" w:rsidTr="00F822AF">
        <w:trPr>
          <w:trHeight w:val="300"/>
        </w:trPr>
        <w:tc>
          <w:tcPr>
            <w:tcW w:w="584" w:type="pct"/>
            <w:tcBorders>
              <w:top w:val="nil"/>
              <w:left w:val="nil"/>
              <w:bottom w:val="nil"/>
              <w:right w:val="nil"/>
            </w:tcBorders>
            <w:shd w:val="clear" w:color="auto" w:fill="auto"/>
            <w:noWrap/>
            <w:vAlign w:val="center"/>
            <w:hideMark/>
          </w:tcPr>
          <w:p w14:paraId="5933AD9F"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CLP</w:t>
            </w:r>
          </w:p>
        </w:tc>
        <w:tc>
          <w:tcPr>
            <w:tcW w:w="327" w:type="pct"/>
            <w:gridSpan w:val="2"/>
            <w:tcBorders>
              <w:top w:val="nil"/>
              <w:left w:val="nil"/>
              <w:bottom w:val="nil"/>
              <w:right w:val="nil"/>
            </w:tcBorders>
            <w:vAlign w:val="center"/>
          </w:tcPr>
          <w:p w14:paraId="2E988661"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583" w:type="pct"/>
            <w:tcBorders>
              <w:top w:val="nil"/>
              <w:left w:val="nil"/>
              <w:bottom w:val="nil"/>
              <w:right w:val="nil"/>
            </w:tcBorders>
            <w:shd w:val="clear" w:color="auto" w:fill="auto"/>
            <w:noWrap/>
            <w:vAlign w:val="center"/>
            <w:hideMark/>
          </w:tcPr>
          <w:p w14:paraId="2C67F402"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13</w:t>
            </w:r>
          </w:p>
        </w:tc>
        <w:tc>
          <w:tcPr>
            <w:tcW w:w="750" w:type="pct"/>
            <w:tcBorders>
              <w:top w:val="nil"/>
              <w:left w:val="nil"/>
              <w:bottom w:val="nil"/>
              <w:right w:val="nil"/>
            </w:tcBorders>
            <w:shd w:val="clear" w:color="auto" w:fill="auto"/>
            <w:noWrap/>
            <w:vAlign w:val="center"/>
            <w:hideMark/>
          </w:tcPr>
          <w:p w14:paraId="2B08B01E"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12</w:t>
            </w:r>
          </w:p>
        </w:tc>
        <w:tc>
          <w:tcPr>
            <w:tcW w:w="667" w:type="pct"/>
            <w:tcBorders>
              <w:top w:val="nil"/>
              <w:left w:val="nil"/>
              <w:bottom w:val="nil"/>
              <w:right w:val="nil"/>
            </w:tcBorders>
            <w:shd w:val="clear" w:color="auto" w:fill="auto"/>
            <w:noWrap/>
            <w:vAlign w:val="center"/>
            <w:hideMark/>
          </w:tcPr>
          <w:p w14:paraId="07593C01"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75</w:t>
            </w:r>
          </w:p>
        </w:tc>
        <w:tc>
          <w:tcPr>
            <w:tcW w:w="319" w:type="pct"/>
            <w:gridSpan w:val="2"/>
            <w:tcBorders>
              <w:top w:val="nil"/>
              <w:left w:val="nil"/>
              <w:bottom w:val="nil"/>
              <w:right w:val="nil"/>
            </w:tcBorders>
            <w:shd w:val="clear" w:color="auto" w:fill="auto"/>
            <w:noWrap/>
            <w:vAlign w:val="center"/>
            <w:hideMark/>
          </w:tcPr>
          <w:p w14:paraId="055FA252"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603" w:type="pct"/>
            <w:gridSpan w:val="2"/>
            <w:tcBorders>
              <w:top w:val="nil"/>
              <w:left w:val="nil"/>
              <w:bottom w:val="nil"/>
              <w:right w:val="nil"/>
            </w:tcBorders>
            <w:shd w:val="clear" w:color="auto" w:fill="auto"/>
            <w:noWrap/>
            <w:vAlign w:val="center"/>
            <w:hideMark/>
          </w:tcPr>
          <w:p w14:paraId="40E2E0DB"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1</w:t>
            </w:r>
          </w:p>
        </w:tc>
        <w:tc>
          <w:tcPr>
            <w:tcW w:w="589" w:type="pct"/>
            <w:tcBorders>
              <w:top w:val="nil"/>
              <w:left w:val="nil"/>
              <w:bottom w:val="nil"/>
              <w:right w:val="nil"/>
            </w:tcBorders>
            <w:shd w:val="clear" w:color="auto" w:fill="auto"/>
            <w:noWrap/>
            <w:vAlign w:val="center"/>
            <w:hideMark/>
          </w:tcPr>
          <w:p w14:paraId="5AD90CD2"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w:t>
            </w:r>
          </w:p>
        </w:tc>
        <w:tc>
          <w:tcPr>
            <w:tcW w:w="577" w:type="pct"/>
            <w:tcBorders>
              <w:top w:val="nil"/>
              <w:left w:val="nil"/>
              <w:bottom w:val="nil"/>
              <w:right w:val="nil"/>
            </w:tcBorders>
            <w:shd w:val="clear" w:color="auto" w:fill="auto"/>
            <w:noWrap/>
            <w:vAlign w:val="center"/>
            <w:hideMark/>
          </w:tcPr>
          <w:p w14:paraId="53CDB745"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99</w:t>
            </w:r>
          </w:p>
        </w:tc>
      </w:tr>
      <w:tr w:rsidR="00F3311E" w:rsidRPr="00B52186" w14:paraId="7FC8A1D3" w14:textId="77777777" w:rsidTr="00F822AF">
        <w:trPr>
          <w:trHeight w:val="300"/>
        </w:trPr>
        <w:tc>
          <w:tcPr>
            <w:tcW w:w="584" w:type="pct"/>
            <w:tcBorders>
              <w:top w:val="nil"/>
              <w:left w:val="nil"/>
              <w:bottom w:val="single" w:sz="4" w:space="0" w:color="auto"/>
              <w:right w:val="nil"/>
            </w:tcBorders>
            <w:shd w:val="clear" w:color="auto" w:fill="auto"/>
            <w:noWrap/>
            <w:vAlign w:val="center"/>
            <w:hideMark/>
          </w:tcPr>
          <w:p w14:paraId="190E1873"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WPC</w:t>
            </w:r>
          </w:p>
        </w:tc>
        <w:tc>
          <w:tcPr>
            <w:tcW w:w="327" w:type="pct"/>
            <w:gridSpan w:val="2"/>
            <w:tcBorders>
              <w:top w:val="nil"/>
              <w:left w:val="nil"/>
              <w:bottom w:val="single" w:sz="4" w:space="0" w:color="auto"/>
              <w:right w:val="nil"/>
            </w:tcBorders>
            <w:vAlign w:val="center"/>
          </w:tcPr>
          <w:p w14:paraId="4CCCA2FB" w14:textId="77777777" w:rsidR="00F3311E" w:rsidRPr="00B52186" w:rsidRDefault="00F3311E" w:rsidP="003C6E36">
            <w:pPr>
              <w:spacing w:after="0" w:line="360" w:lineRule="auto"/>
              <w:jc w:val="both"/>
              <w:rPr>
                <w:rFonts w:ascii="Times New Roman" w:hAnsi="Times New Roman" w:cs="Times New Roman"/>
                <w:sz w:val="24"/>
                <w:szCs w:val="24"/>
              </w:rPr>
            </w:pPr>
          </w:p>
        </w:tc>
        <w:tc>
          <w:tcPr>
            <w:tcW w:w="583" w:type="pct"/>
            <w:tcBorders>
              <w:top w:val="nil"/>
              <w:left w:val="nil"/>
              <w:bottom w:val="single" w:sz="4" w:space="0" w:color="auto"/>
              <w:right w:val="nil"/>
            </w:tcBorders>
            <w:shd w:val="clear" w:color="auto" w:fill="auto"/>
            <w:noWrap/>
            <w:vAlign w:val="center"/>
            <w:hideMark/>
          </w:tcPr>
          <w:p w14:paraId="619561A8"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8</w:t>
            </w:r>
          </w:p>
        </w:tc>
        <w:tc>
          <w:tcPr>
            <w:tcW w:w="750" w:type="pct"/>
            <w:tcBorders>
              <w:top w:val="nil"/>
              <w:left w:val="nil"/>
              <w:bottom w:val="single" w:sz="4" w:space="0" w:color="auto"/>
              <w:right w:val="nil"/>
            </w:tcBorders>
            <w:shd w:val="clear" w:color="auto" w:fill="auto"/>
            <w:noWrap/>
            <w:vAlign w:val="center"/>
            <w:hideMark/>
          </w:tcPr>
          <w:p w14:paraId="3AD04824"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86</w:t>
            </w:r>
          </w:p>
        </w:tc>
        <w:tc>
          <w:tcPr>
            <w:tcW w:w="667" w:type="pct"/>
            <w:tcBorders>
              <w:top w:val="nil"/>
              <w:left w:val="nil"/>
              <w:bottom w:val="single" w:sz="4" w:space="0" w:color="auto"/>
              <w:right w:val="nil"/>
            </w:tcBorders>
            <w:shd w:val="clear" w:color="auto" w:fill="auto"/>
            <w:noWrap/>
            <w:vAlign w:val="center"/>
            <w:hideMark/>
          </w:tcPr>
          <w:p w14:paraId="636C6C4F"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6</w:t>
            </w:r>
          </w:p>
        </w:tc>
        <w:tc>
          <w:tcPr>
            <w:tcW w:w="319" w:type="pct"/>
            <w:gridSpan w:val="2"/>
            <w:tcBorders>
              <w:top w:val="nil"/>
              <w:left w:val="nil"/>
              <w:bottom w:val="single" w:sz="4" w:space="0" w:color="auto"/>
              <w:right w:val="nil"/>
            </w:tcBorders>
            <w:shd w:val="clear" w:color="auto" w:fill="auto"/>
            <w:noWrap/>
            <w:vAlign w:val="center"/>
            <w:hideMark/>
          </w:tcPr>
          <w:p w14:paraId="51840DBB" w14:textId="43B26CC1" w:rsidR="00F3311E" w:rsidRPr="00B52186" w:rsidRDefault="00F3311E" w:rsidP="003C6E36">
            <w:pPr>
              <w:spacing w:after="0" w:line="360" w:lineRule="auto"/>
              <w:jc w:val="both"/>
              <w:rPr>
                <w:rFonts w:ascii="Times New Roman" w:hAnsi="Times New Roman" w:cs="Times New Roman"/>
                <w:sz w:val="24"/>
                <w:szCs w:val="24"/>
              </w:rPr>
            </w:pPr>
          </w:p>
        </w:tc>
        <w:tc>
          <w:tcPr>
            <w:tcW w:w="603" w:type="pct"/>
            <w:gridSpan w:val="2"/>
            <w:tcBorders>
              <w:top w:val="nil"/>
              <w:left w:val="nil"/>
              <w:bottom w:val="single" w:sz="4" w:space="0" w:color="auto"/>
              <w:right w:val="nil"/>
            </w:tcBorders>
            <w:shd w:val="clear" w:color="auto" w:fill="auto"/>
            <w:noWrap/>
            <w:vAlign w:val="center"/>
            <w:hideMark/>
          </w:tcPr>
          <w:p w14:paraId="520FA283"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6</w:t>
            </w:r>
          </w:p>
        </w:tc>
        <w:tc>
          <w:tcPr>
            <w:tcW w:w="589" w:type="pct"/>
            <w:tcBorders>
              <w:top w:val="nil"/>
              <w:left w:val="nil"/>
              <w:bottom w:val="single" w:sz="4" w:space="0" w:color="auto"/>
              <w:right w:val="nil"/>
            </w:tcBorders>
            <w:shd w:val="clear" w:color="auto" w:fill="auto"/>
            <w:noWrap/>
            <w:vAlign w:val="center"/>
            <w:hideMark/>
          </w:tcPr>
          <w:p w14:paraId="3CDA64CA"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41</w:t>
            </w:r>
          </w:p>
        </w:tc>
        <w:tc>
          <w:tcPr>
            <w:tcW w:w="577" w:type="pct"/>
            <w:tcBorders>
              <w:top w:val="nil"/>
              <w:left w:val="nil"/>
              <w:bottom w:val="single" w:sz="4" w:space="0" w:color="auto"/>
              <w:right w:val="nil"/>
            </w:tcBorders>
            <w:shd w:val="clear" w:color="auto" w:fill="auto"/>
            <w:noWrap/>
            <w:vAlign w:val="center"/>
            <w:hideMark/>
          </w:tcPr>
          <w:p w14:paraId="21597420" w14:textId="77777777" w:rsidR="00F3311E" w:rsidRPr="00B52186" w:rsidRDefault="00F3311E" w:rsidP="003C6E36">
            <w:pPr>
              <w:spacing w:after="0" w:line="360" w:lineRule="auto"/>
              <w:jc w:val="both"/>
              <w:rPr>
                <w:rFonts w:ascii="Times New Roman" w:hAnsi="Times New Roman" w:cs="Times New Roman"/>
                <w:sz w:val="24"/>
                <w:szCs w:val="24"/>
              </w:rPr>
            </w:pPr>
            <w:r w:rsidRPr="00B52186">
              <w:rPr>
                <w:rFonts w:ascii="Times New Roman" w:hAnsi="Times New Roman" w:cs="Times New Roman"/>
                <w:sz w:val="24"/>
                <w:szCs w:val="24"/>
              </w:rPr>
              <w:t>53</w:t>
            </w:r>
          </w:p>
        </w:tc>
      </w:tr>
    </w:tbl>
    <w:p w14:paraId="4EF51051" w14:textId="77777777" w:rsidR="00F3311E" w:rsidRPr="00B52186" w:rsidRDefault="00F3311E" w:rsidP="003C6E36">
      <w:pPr>
        <w:pStyle w:val="NormalWeb"/>
        <w:spacing w:before="0" w:beforeAutospacing="0" w:after="0" w:afterAutospacing="0" w:line="360" w:lineRule="auto"/>
        <w:jc w:val="both"/>
        <w:rPr>
          <w:rFonts w:eastAsiaTheme="minorHAnsi"/>
          <w:sz w:val="20"/>
          <w:szCs w:val="20"/>
          <w:lang w:eastAsia="en-US"/>
        </w:rPr>
      </w:pPr>
      <w:r w:rsidRPr="00B52186">
        <w:rPr>
          <w:rFonts w:eastAsiaTheme="minorHAnsi"/>
          <w:sz w:val="20"/>
          <w:szCs w:val="20"/>
          <w:lang w:eastAsia="en-US"/>
        </w:rPr>
        <w:t>LPD: Leite em pó desnatado; LPI: Leite em pó integral; CLP: Creme de leite em pó, WPC: Whey protein concentrado.</w:t>
      </w:r>
    </w:p>
    <w:p w14:paraId="2A7FC639" w14:textId="77777777" w:rsidR="00F3311E" w:rsidRPr="00B52186" w:rsidRDefault="00F3311E" w:rsidP="003C6E36">
      <w:pPr>
        <w:pStyle w:val="NormalWeb"/>
        <w:spacing w:before="0" w:beforeAutospacing="0" w:after="0" w:afterAutospacing="0" w:line="360" w:lineRule="auto"/>
        <w:jc w:val="both"/>
        <w:rPr>
          <w:rFonts w:eastAsiaTheme="minorHAnsi"/>
          <w:sz w:val="20"/>
          <w:szCs w:val="20"/>
          <w:lang w:eastAsia="en-US"/>
        </w:rPr>
      </w:pPr>
      <w:r w:rsidRPr="00B52186">
        <w:rPr>
          <w:rFonts w:eastAsiaTheme="minorHAnsi"/>
          <w:sz w:val="20"/>
          <w:szCs w:val="20"/>
          <w:lang w:eastAsia="en-US"/>
        </w:rPr>
        <w:t>Fonte: adaptado de (KIM et al., 2005)</w:t>
      </w:r>
    </w:p>
    <w:p w14:paraId="02E44789" w14:textId="77777777" w:rsidR="00F3311E" w:rsidRPr="00F3311E" w:rsidRDefault="00F3311E"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 xml:space="preserve">Como pode ser observado pela tabela 1, a medida que o teor de gordura do pó aumenta, há um aumento acentuado na cobertura de gordura da superfície. O leite em pó integral com composição de 29% de gordura em massa, apresentou uma cobertura superficial de 98% de gordura, ou seja, praticamente toda a superfície foi formada por gordura. Mesmo para lácteos com teor muito baixo de gordura, como leite em pó desnatado, por exemplo, com apenas 1% </w:t>
      </w:r>
      <w:r w:rsidRPr="00F3311E">
        <w:rPr>
          <w:rFonts w:eastAsiaTheme="minorHAnsi"/>
          <w:lang w:eastAsia="en-US"/>
        </w:rPr>
        <w:lastRenderedPageBreak/>
        <w:t>de gordura sua superfície era constituída por 18% de gordura (KIM et al., 2005). O comportamento de escoamento dos pós também foi verificado, e o pó com menor teor de gordura superficial, o leite em pó desnatado pode fluir mais facilmente que os demais. A gordura na superfície dos pós tem tendência a fazer com que as partículas se colem umas às outras ou se aglomerem, diminuindo a fluidez dos pós (KIM et al., 2005).</w:t>
      </w:r>
    </w:p>
    <w:p w14:paraId="0A99098C" w14:textId="6EFA19BA" w:rsidR="00F3311E" w:rsidRPr="005A46C3" w:rsidRDefault="00F3311E" w:rsidP="004551BD">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 xml:space="preserve">Mesmo para pós com baixo teor </w:t>
      </w:r>
      <w:r w:rsidRPr="005A46C3">
        <w:rPr>
          <w:rFonts w:ascii="Times New Roman" w:hAnsi="Times New Roman" w:cs="Times New Roman"/>
          <w:sz w:val="24"/>
          <w:szCs w:val="24"/>
        </w:rPr>
        <w:t>de gordura como fosfato nativo, é possível observar sobre</w:t>
      </w:r>
      <w:r w:rsidR="005A46C3">
        <w:rPr>
          <w:rFonts w:ascii="Times New Roman" w:hAnsi="Times New Roman" w:cs="Times New Roman"/>
          <w:sz w:val="24"/>
          <w:szCs w:val="24"/>
        </w:rPr>
        <w:t>-</w:t>
      </w:r>
      <w:r w:rsidRPr="005A46C3">
        <w:rPr>
          <w:rFonts w:ascii="Times New Roman" w:hAnsi="Times New Roman" w:cs="Times New Roman"/>
          <w:sz w:val="24"/>
          <w:szCs w:val="24"/>
        </w:rPr>
        <w:t xml:space="preserve">representação gordura na superfície dos pós, </w:t>
      </w:r>
      <w:r w:rsidR="0049794F" w:rsidRPr="005A46C3">
        <w:rPr>
          <w:rFonts w:ascii="Times New Roman" w:hAnsi="Times New Roman" w:cs="Times New Roman"/>
          <w:sz w:val="24"/>
          <w:szCs w:val="24"/>
        </w:rPr>
        <w:t>fosfato nativo</w:t>
      </w:r>
      <w:r w:rsidRPr="005A46C3">
        <w:rPr>
          <w:rFonts w:ascii="Times New Roman" w:hAnsi="Times New Roman" w:cs="Times New Roman"/>
          <w:sz w:val="24"/>
          <w:szCs w:val="24"/>
        </w:rPr>
        <w:t xml:space="preserve"> possuindo apenas 0,4% de lipídios em massa, </w:t>
      </w:r>
      <w:r w:rsidR="0049794F" w:rsidRPr="005A46C3">
        <w:rPr>
          <w:rFonts w:ascii="Times New Roman" w:hAnsi="Times New Roman" w:cs="Times New Roman"/>
          <w:sz w:val="24"/>
          <w:szCs w:val="24"/>
        </w:rPr>
        <w:t xml:space="preserve">possuiu </w:t>
      </w:r>
      <w:r w:rsidRPr="005A46C3">
        <w:rPr>
          <w:rFonts w:ascii="Times New Roman" w:hAnsi="Times New Roman" w:cs="Times New Roman"/>
          <w:sz w:val="24"/>
          <w:szCs w:val="24"/>
        </w:rPr>
        <w:t>6% de gordura em sua superfície. Após 30 dias de armazenado houve aumento do teor de gordura na superfície sendo encontrados valores de 13% de gordura e após 60 dias o teor de gordura superficial foi de 17%, evidenciando migração de gordura para a superfície durante a etapa de armazenamento (GAIANI et al., 20</w:t>
      </w:r>
      <w:r w:rsidR="001F2C4E">
        <w:rPr>
          <w:rFonts w:ascii="Times New Roman" w:hAnsi="Times New Roman" w:cs="Times New Roman"/>
          <w:sz w:val="24"/>
          <w:szCs w:val="24"/>
        </w:rPr>
        <w:t>10</w:t>
      </w:r>
      <w:r w:rsidRPr="005A46C3">
        <w:rPr>
          <w:rFonts w:ascii="Times New Roman" w:hAnsi="Times New Roman" w:cs="Times New Roman"/>
          <w:sz w:val="24"/>
          <w:szCs w:val="24"/>
        </w:rPr>
        <w:t>).</w:t>
      </w:r>
    </w:p>
    <w:p w14:paraId="1142E9F1" w14:textId="2C01A488" w:rsidR="00424926" w:rsidRPr="00F822AF" w:rsidRDefault="00F3311E" w:rsidP="004551BD">
      <w:pPr>
        <w:spacing w:after="0" w:line="360" w:lineRule="auto"/>
        <w:ind w:firstLine="708"/>
        <w:jc w:val="both"/>
        <w:rPr>
          <w:rFonts w:ascii="Times New Roman" w:hAnsi="Times New Roman" w:cs="Times New Roman"/>
          <w:lang w:val="fr-FR"/>
        </w:rPr>
      </w:pPr>
      <w:r w:rsidRPr="005A46C3">
        <w:rPr>
          <w:rFonts w:ascii="Times New Roman" w:hAnsi="Times New Roman" w:cs="Times New Roman"/>
          <w:sz w:val="24"/>
          <w:szCs w:val="24"/>
        </w:rPr>
        <w:t>Outros estudos tem também relatado</w:t>
      </w:r>
      <w:r w:rsidRPr="00B52186">
        <w:rPr>
          <w:rFonts w:ascii="Times New Roman" w:hAnsi="Times New Roman" w:cs="Times New Roman"/>
          <w:sz w:val="24"/>
          <w:szCs w:val="24"/>
        </w:rPr>
        <w:t xml:space="preserve"> que a gordura tende a ser sobre-representada na superfície da partícula em comparação com a composição da massa (</w:t>
      </w:r>
      <w:r w:rsidR="00424926">
        <w:rPr>
          <w:rFonts w:ascii="Times New Roman" w:hAnsi="Times New Roman" w:cs="Times New Roman"/>
          <w:sz w:val="24"/>
          <w:szCs w:val="24"/>
        </w:rPr>
        <w:t>KIM et al., 2005; GAIANI et al., 20</w:t>
      </w:r>
      <w:r w:rsidR="001F2C4E">
        <w:rPr>
          <w:rFonts w:ascii="Times New Roman" w:hAnsi="Times New Roman" w:cs="Times New Roman"/>
          <w:sz w:val="24"/>
          <w:szCs w:val="24"/>
        </w:rPr>
        <w:t>10</w:t>
      </w:r>
      <w:r w:rsidR="00424926">
        <w:rPr>
          <w:rFonts w:ascii="Times New Roman" w:hAnsi="Times New Roman" w:cs="Times New Roman"/>
          <w:sz w:val="24"/>
          <w:szCs w:val="24"/>
        </w:rPr>
        <w:t xml:space="preserve">; </w:t>
      </w:r>
      <w:r w:rsidR="00424926" w:rsidRPr="00B52186">
        <w:rPr>
          <w:rFonts w:ascii="Times New Roman" w:hAnsi="Times New Roman" w:cs="Times New Roman"/>
          <w:sz w:val="24"/>
          <w:szCs w:val="24"/>
        </w:rPr>
        <w:t>KIM et al., </w:t>
      </w:r>
      <w:bookmarkStart w:id="7" w:name="bbib22"/>
      <w:r w:rsidR="00424926" w:rsidRPr="00B52186">
        <w:rPr>
          <w:rFonts w:ascii="Times New Roman" w:hAnsi="Times New Roman" w:cs="Times New Roman"/>
          <w:sz w:val="24"/>
          <w:szCs w:val="24"/>
        </w:rPr>
        <w:fldChar w:fldCharType="begin"/>
      </w:r>
      <w:r w:rsidR="00424926" w:rsidRPr="00B52186">
        <w:rPr>
          <w:rFonts w:ascii="Times New Roman" w:hAnsi="Times New Roman" w:cs="Times New Roman"/>
          <w:sz w:val="24"/>
          <w:szCs w:val="24"/>
        </w:rPr>
        <w:instrText xml:space="preserve"> HYPERLINK "https://www.sciencedirect.com/science/article/pii/B9780081005965216934" \l "bib22" </w:instrText>
      </w:r>
      <w:r w:rsidR="00424926" w:rsidRPr="00B52186">
        <w:rPr>
          <w:rFonts w:ascii="Times New Roman" w:hAnsi="Times New Roman" w:cs="Times New Roman"/>
          <w:sz w:val="24"/>
          <w:szCs w:val="24"/>
        </w:rPr>
        <w:fldChar w:fldCharType="separate"/>
      </w:r>
      <w:r w:rsidR="00424926" w:rsidRPr="00B52186">
        <w:rPr>
          <w:rFonts w:ascii="Times New Roman" w:hAnsi="Times New Roman" w:cs="Times New Roman"/>
          <w:sz w:val="24"/>
          <w:szCs w:val="24"/>
        </w:rPr>
        <w:t>2009</w:t>
      </w:r>
      <w:r w:rsidR="00424926" w:rsidRPr="00B52186">
        <w:rPr>
          <w:rFonts w:ascii="Times New Roman" w:hAnsi="Times New Roman" w:cs="Times New Roman"/>
          <w:sz w:val="24"/>
          <w:szCs w:val="24"/>
        </w:rPr>
        <w:fldChar w:fldCharType="end"/>
      </w:r>
      <w:bookmarkEnd w:id="7"/>
      <w:r w:rsidRPr="00B52186">
        <w:rPr>
          <w:rFonts w:ascii="Times New Roman" w:hAnsi="Times New Roman" w:cs="Times New Roman"/>
          <w:sz w:val="24"/>
          <w:szCs w:val="24"/>
        </w:rPr>
        <w:t xml:space="preserve">; </w:t>
      </w:r>
      <w:r w:rsidR="00424926">
        <w:rPr>
          <w:rFonts w:ascii="Times New Roman" w:hAnsi="Times New Roman" w:cs="Times New Roman"/>
          <w:sz w:val="24"/>
          <w:szCs w:val="24"/>
        </w:rPr>
        <w:t>FYFE et al., 2011;</w:t>
      </w:r>
      <w:r w:rsidR="00424926" w:rsidRPr="00424926">
        <w:rPr>
          <w:rFonts w:ascii="Times New Roman" w:hAnsi="Times New Roman" w:cs="Times New Roman"/>
          <w:sz w:val="24"/>
          <w:szCs w:val="24"/>
        </w:rPr>
        <w:t xml:space="preserve"> </w:t>
      </w:r>
      <w:r w:rsidR="00424926">
        <w:rPr>
          <w:rFonts w:ascii="Times New Roman" w:hAnsi="Times New Roman" w:cs="Times New Roman"/>
          <w:sz w:val="24"/>
          <w:szCs w:val="24"/>
        </w:rPr>
        <w:t>FOERSTER et al., 2016</w:t>
      </w:r>
      <w:r w:rsidR="006C00C3">
        <w:rPr>
          <w:rFonts w:ascii="Times New Roman" w:hAnsi="Times New Roman" w:cs="Times New Roman"/>
          <w:sz w:val="24"/>
          <w:szCs w:val="24"/>
        </w:rPr>
        <w:t>a</w:t>
      </w:r>
      <w:r w:rsidR="00424926">
        <w:rPr>
          <w:rFonts w:ascii="Times New Roman" w:hAnsi="Times New Roman" w:cs="Times New Roman"/>
          <w:sz w:val="24"/>
          <w:szCs w:val="24"/>
        </w:rPr>
        <w:t xml:space="preserve">; </w:t>
      </w:r>
      <w:r w:rsidR="00424926" w:rsidRPr="00B52186">
        <w:rPr>
          <w:rFonts w:ascii="Times New Roman" w:hAnsi="Times New Roman" w:cs="Times New Roman"/>
          <w:sz w:val="24"/>
          <w:szCs w:val="24"/>
        </w:rPr>
        <w:t>FOERSTER et al., 2017</w:t>
      </w:r>
      <w:r w:rsidRPr="00B52186">
        <w:rPr>
          <w:rFonts w:ascii="Times New Roman" w:hAnsi="Times New Roman" w:cs="Times New Roman"/>
          <w:sz w:val="24"/>
          <w:szCs w:val="24"/>
        </w:rPr>
        <w:t>). Emulsões</w:t>
      </w:r>
      <w:r w:rsidRPr="00F3311E">
        <w:rPr>
          <w:rFonts w:ascii="Times New Roman" w:hAnsi="Times New Roman" w:cs="Times New Roman"/>
          <w:sz w:val="24"/>
          <w:szCs w:val="24"/>
        </w:rPr>
        <w:t xml:space="preserve"> de leite (modelo) com teor de gordura similar ao leite integral, após secas, apresentara</w:t>
      </w:r>
      <w:r w:rsidR="00424926">
        <w:rPr>
          <w:rFonts w:ascii="Times New Roman" w:hAnsi="Times New Roman" w:cs="Times New Roman"/>
          <w:sz w:val="24"/>
          <w:szCs w:val="24"/>
        </w:rPr>
        <w:t>m em suas superfícies mais de 80</w:t>
      </w:r>
      <w:r w:rsidRPr="00F3311E">
        <w:rPr>
          <w:rFonts w:ascii="Times New Roman" w:hAnsi="Times New Roman" w:cs="Times New Roman"/>
          <w:sz w:val="24"/>
          <w:szCs w:val="24"/>
        </w:rPr>
        <w:t>% de gordura (KIM et al., 2005;  </w:t>
      </w:r>
      <w:hyperlink r:id="rId15" w:anchor="bib61" w:history="1">
        <w:r w:rsidRPr="00F3311E">
          <w:rPr>
            <w:rFonts w:ascii="Times New Roman" w:hAnsi="Times New Roman" w:cs="Times New Roman"/>
          </w:rPr>
          <w:t>MURRIETA-PAZOS et al., 2012</w:t>
        </w:r>
      </w:hyperlink>
      <w:r w:rsidRPr="00F3311E">
        <w:rPr>
          <w:rFonts w:ascii="Times New Roman" w:hAnsi="Times New Roman" w:cs="Times New Roman"/>
          <w:sz w:val="24"/>
          <w:szCs w:val="24"/>
        </w:rPr>
        <w:t> ; </w:t>
      </w:r>
      <w:hyperlink r:id="rId16" w:anchor="bib24" w:history="1">
        <w:r w:rsidRPr="00F3311E">
          <w:rPr>
            <w:rFonts w:ascii="Times New Roman" w:hAnsi="Times New Roman" w:cs="Times New Roman"/>
          </w:rPr>
          <w:t>FOERSTER et al., 2016</w:t>
        </w:r>
      </w:hyperlink>
      <w:r w:rsidR="006C00C3">
        <w:rPr>
          <w:rFonts w:ascii="Times New Roman" w:hAnsi="Times New Roman" w:cs="Times New Roman"/>
        </w:rPr>
        <w:t>b</w:t>
      </w:r>
      <w:r w:rsidR="00424926">
        <w:rPr>
          <w:rFonts w:ascii="Times New Roman" w:hAnsi="Times New Roman" w:cs="Times New Roman"/>
          <w:sz w:val="24"/>
          <w:szCs w:val="24"/>
        </w:rPr>
        <w:t xml:space="preserve">; </w:t>
      </w:r>
      <w:r w:rsidR="00424926" w:rsidRPr="00B52186">
        <w:rPr>
          <w:rFonts w:ascii="Times New Roman" w:hAnsi="Times New Roman" w:cs="Times New Roman"/>
          <w:sz w:val="24"/>
          <w:szCs w:val="24"/>
        </w:rPr>
        <w:t>FOERSTER et al., 2017</w:t>
      </w:r>
      <w:r w:rsidR="00424926">
        <w:rPr>
          <w:rFonts w:ascii="Times New Roman" w:hAnsi="Times New Roman" w:cs="Times New Roman"/>
          <w:sz w:val="24"/>
          <w:szCs w:val="24"/>
        </w:rPr>
        <w:t>)</w:t>
      </w:r>
      <w:r w:rsidRPr="00F3311E">
        <w:rPr>
          <w:rFonts w:ascii="Times New Roman" w:hAnsi="Times New Roman" w:cs="Times New Roman"/>
          <w:sz w:val="24"/>
          <w:szCs w:val="24"/>
        </w:rPr>
        <w:t>. </w:t>
      </w:r>
      <w:r w:rsidR="009C4455">
        <w:rPr>
          <w:rFonts w:ascii="Times New Roman" w:hAnsi="Times New Roman" w:cs="Times New Roman"/>
          <w:sz w:val="24"/>
          <w:szCs w:val="24"/>
        </w:rPr>
        <w:t>Teor de gordura</w:t>
      </w:r>
      <w:r w:rsidRPr="00F3311E">
        <w:rPr>
          <w:rFonts w:ascii="Times New Roman" w:hAnsi="Times New Roman" w:cs="Times New Roman"/>
          <w:sz w:val="24"/>
          <w:szCs w:val="24"/>
        </w:rPr>
        <w:t xml:space="preserve"> </w:t>
      </w:r>
      <w:r w:rsidR="00E65574">
        <w:rPr>
          <w:rFonts w:ascii="Times New Roman" w:hAnsi="Times New Roman" w:cs="Times New Roman"/>
          <w:sz w:val="24"/>
          <w:szCs w:val="24"/>
        </w:rPr>
        <w:t xml:space="preserve">quase três vezes </w:t>
      </w:r>
      <w:r w:rsidR="009C4455">
        <w:rPr>
          <w:rFonts w:ascii="Times New Roman" w:hAnsi="Times New Roman" w:cs="Times New Roman"/>
          <w:sz w:val="24"/>
          <w:szCs w:val="24"/>
        </w:rPr>
        <w:t xml:space="preserve">maior </w:t>
      </w:r>
      <w:r w:rsidRPr="00F3311E">
        <w:rPr>
          <w:rFonts w:ascii="Times New Roman" w:hAnsi="Times New Roman" w:cs="Times New Roman"/>
          <w:sz w:val="24"/>
          <w:szCs w:val="24"/>
        </w:rPr>
        <w:t xml:space="preserve">em relação à composição </w:t>
      </w:r>
      <w:r w:rsidR="00E65574">
        <w:rPr>
          <w:rFonts w:ascii="Times New Roman" w:hAnsi="Times New Roman" w:cs="Times New Roman"/>
          <w:sz w:val="24"/>
          <w:szCs w:val="24"/>
        </w:rPr>
        <w:t>em massa</w:t>
      </w:r>
      <w:r w:rsidRPr="00F3311E">
        <w:rPr>
          <w:rFonts w:ascii="Times New Roman" w:hAnsi="Times New Roman" w:cs="Times New Roman"/>
          <w:sz w:val="24"/>
          <w:szCs w:val="24"/>
        </w:rPr>
        <w:t xml:space="preserve">. Emulsões modelo de </w:t>
      </w:r>
      <w:hyperlink r:id="rId17" w:tooltip="Saiba mais sobre o leite desnatado" w:history="1">
        <w:r w:rsidRPr="00F3311E">
          <w:rPr>
            <w:rFonts w:ascii="Times New Roman" w:hAnsi="Times New Roman" w:cs="Times New Roman"/>
          </w:rPr>
          <w:t>leite desnatado</w:t>
        </w:r>
      </w:hyperlink>
      <w:r w:rsidRPr="00F3311E">
        <w:rPr>
          <w:rFonts w:ascii="Times New Roman" w:hAnsi="Times New Roman" w:cs="Times New Roman"/>
          <w:sz w:val="24"/>
          <w:szCs w:val="24"/>
        </w:rPr>
        <w:t xml:space="preserve"> e </w:t>
      </w:r>
      <w:hyperlink r:id="rId18" w:tooltip="Saiba mais sobre os Concentrados de Proteína do Leite" w:history="1">
        <w:r w:rsidRPr="00F3311E">
          <w:rPr>
            <w:rFonts w:ascii="Times New Roman" w:hAnsi="Times New Roman" w:cs="Times New Roman"/>
          </w:rPr>
          <w:t>concentrados de proteína do leite</w:t>
        </w:r>
      </w:hyperlink>
      <w:r w:rsidRPr="00F3311E">
        <w:rPr>
          <w:rFonts w:ascii="Times New Roman" w:hAnsi="Times New Roman" w:cs="Times New Roman"/>
        </w:rPr>
        <w:t xml:space="preserve"> </w:t>
      </w:r>
      <w:r w:rsidRPr="00F3311E">
        <w:rPr>
          <w:rFonts w:ascii="Times New Roman" w:hAnsi="Times New Roman" w:cs="Times New Roman"/>
          <w:sz w:val="24"/>
          <w:szCs w:val="24"/>
        </w:rPr>
        <w:t>também obtiveram acúmulo de gordura na superfície do pó com 3,5% e 45,9% de gordura superficial para conteúdo de gordura de 0,6% e</w:t>
      </w:r>
      <w:r w:rsidR="009C4455">
        <w:rPr>
          <w:rFonts w:ascii="Times New Roman" w:hAnsi="Times New Roman" w:cs="Times New Roman"/>
          <w:sz w:val="24"/>
          <w:szCs w:val="24"/>
        </w:rPr>
        <w:t xml:space="preserve"> </w:t>
      </w:r>
      <w:r w:rsidRPr="00F3311E">
        <w:rPr>
          <w:rFonts w:ascii="Times New Roman" w:hAnsi="Times New Roman" w:cs="Times New Roman"/>
          <w:sz w:val="24"/>
          <w:szCs w:val="24"/>
        </w:rPr>
        <w:t xml:space="preserve">1,5% em massa. </w:t>
      </w:r>
      <w:r w:rsidR="009C4455">
        <w:rPr>
          <w:rFonts w:ascii="Times New Roman" w:hAnsi="Times New Roman" w:cs="Times New Roman"/>
          <w:sz w:val="24"/>
          <w:szCs w:val="24"/>
        </w:rPr>
        <w:t>Representação de gordura de</w:t>
      </w:r>
      <w:r w:rsidRPr="00F3311E">
        <w:rPr>
          <w:rFonts w:ascii="Times New Roman" w:hAnsi="Times New Roman" w:cs="Times New Roman"/>
          <w:sz w:val="24"/>
          <w:szCs w:val="24"/>
        </w:rPr>
        <w:t xml:space="preserve"> 6 a 30 vezes em compa</w:t>
      </w:r>
      <w:r w:rsidR="0049794F">
        <w:rPr>
          <w:rFonts w:ascii="Times New Roman" w:hAnsi="Times New Roman" w:cs="Times New Roman"/>
          <w:sz w:val="24"/>
          <w:szCs w:val="24"/>
        </w:rPr>
        <w:t>ração com a composição em massa</w:t>
      </w:r>
      <w:r w:rsidRPr="00F3311E">
        <w:rPr>
          <w:rFonts w:ascii="Times New Roman" w:hAnsi="Times New Roman" w:cs="Times New Roman"/>
          <w:sz w:val="24"/>
          <w:szCs w:val="24"/>
        </w:rPr>
        <w:t xml:space="preserve"> </w:t>
      </w:r>
      <w:r w:rsidRPr="00F822AF">
        <w:rPr>
          <w:rFonts w:ascii="Times New Roman" w:hAnsi="Times New Roman" w:cs="Times New Roman"/>
          <w:sz w:val="24"/>
          <w:szCs w:val="24"/>
          <w:lang w:val="fr-FR"/>
        </w:rPr>
        <w:t>(</w:t>
      </w:r>
      <w:hyperlink r:id="rId19" w:anchor="bib46" w:history="1">
        <w:r w:rsidRPr="00F822AF">
          <w:rPr>
            <w:rFonts w:ascii="Times New Roman" w:hAnsi="Times New Roman" w:cs="Times New Roman"/>
            <w:lang w:val="fr-FR"/>
          </w:rPr>
          <w:t>KIM et al., 2009</w:t>
        </w:r>
      </w:hyperlink>
      <w:r w:rsidRPr="00F822AF">
        <w:rPr>
          <w:rFonts w:ascii="Times New Roman" w:hAnsi="Times New Roman" w:cs="Times New Roman"/>
          <w:sz w:val="24"/>
          <w:szCs w:val="24"/>
          <w:lang w:val="fr-FR"/>
        </w:rPr>
        <w:t xml:space="preserve">; </w:t>
      </w:r>
      <w:hyperlink r:id="rId20" w:anchor="bib27" w:history="1">
        <w:r w:rsidRPr="00F822AF">
          <w:rPr>
            <w:rFonts w:ascii="Times New Roman" w:hAnsi="Times New Roman" w:cs="Times New Roman"/>
            <w:lang w:val="fr-FR"/>
          </w:rPr>
          <w:t>FYFE et al., 2011</w:t>
        </w:r>
      </w:hyperlink>
      <w:r w:rsidRPr="00F822AF">
        <w:rPr>
          <w:rFonts w:ascii="Times New Roman" w:hAnsi="Times New Roman" w:cs="Times New Roman"/>
          <w:lang w:val="fr-FR"/>
        </w:rPr>
        <w:t xml:space="preserve">; </w:t>
      </w:r>
      <w:hyperlink r:id="rId21" w:anchor="bib61" w:history="1">
        <w:r w:rsidRPr="00F822AF">
          <w:rPr>
            <w:rFonts w:ascii="Times New Roman" w:hAnsi="Times New Roman" w:cs="Times New Roman"/>
            <w:lang w:val="fr-FR"/>
          </w:rPr>
          <w:t>MURRIETA-PAZOS et al., 2012</w:t>
        </w:r>
      </w:hyperlink>
      <w:r w:rsidR="00424926" w:rsidRPr="00F822AF">
        <w:rPr>
          <w:rFonts w:ascii="Times New Roman" w:hAnsi="Times New Roman" w:cs="Times New Roman"/>
          <w:lang w:val="fr-FR"/>
        </w:rPr>
        <w:t xml:space="preserve">; </w:t>
      </w:r>
      <w:hyperlink r:id="rId22" w:anchor="bib65" w:history="1">
        <w:r w:rsidRPr="00F822AF">
          <w:rPr>
            <w:rFonts w:ascii="Times New Roman" w:hAnsi="Times New Roman" w:cs="Times New Roman"/>
            <w:lang w:val="fr-FR"/>
          </w:rPr>
          <w:t>NIKOLOVA et al., 2014</w:t>
        </w:r>
      </w:hyperlink>
      <w:r w:rsidRPr="00F822AF">
        <w:rPr>
          <w:rFonts w:ascii="Times New Roman" w:hAnsi="Times New Roman" w:cs="Times New Roman"/>
          <w:sz w:val="24"/>
          <w:szCs w:val="24"/>
          <w:lang w:val="fr-FR"/>
        </w:rPr>
        <w:t xml:space="preserve">; </w:t>
      </w:r>
      <w:hyperlink r:id="rId23" w:anchor="bib39" w:history="1">
        <w:r w:rsidRPr="00F822AF">
          <w:rPr>
            <w:rFonts w:ascii="Times New Roman" w:hAnsi="Times New Roman" w:cs="Times New Roman"/>
            <w:lang w:val="fr-FR"/>
          </w:rPr>
          <w:t>KELLY et al., 2015</w:t>
        </w:r>
      </w:hyperlink>
      <w:r w:rsidR="00424926" w:rsidRPr="00F822AF">
        <w:rPr>
          <w:rFonts w:ascii="Times New Roman" w:hAnsi="Times New Roman" w:cs="Times New Roman"/>
          <w:lang w:val="fr-FR"/>
        </w:rPr>
        <w:t>)</w:t>
      </w:r>
      <w:r w:rsidR="00E65574" w:rsidRPr="00F822AF">
        <w:rPr>
          <w:rFonts w:ascii="Times New Roman" w:hAnsi="Times New Roman" w:cs="Times New Roman"/>
          <w:lang w:val="fr-FR"/>
        </w:rPr>
        <w:t xml:space="preserve">. </w:t>
      </w:r>
    </w:p>
    <w:p w14:paraId="7691424F" w14:textId="77777777" w:rsidR="00B8099F" w:rsidRPr="00F822AF" w:rsidRDefault="00B8099F" w:rsidP="003C6E36">
      <w:pPr>
        <w:spacing w:after="0" w:line="360" w:lineRule="auto"/>
        <w:jc w:val="both"/>
        <w:rPr>
          <w:rFonts w:ascii="Times New Roman" w:hAnsi="Times New Roman" w:cs="Times New Roman"/>
          <w:b/>
          <w:sz w:val="24"/>
          <w:szCs w:val="24"/>
          <w:lang w:val="fr-FR"/>
        </w:rPr>
      </w:pPr>
    </w:p>
    <w:p w14:paraId="25FA8001" w14:textId="426143B7" w:rsidR="00F3311E" w:rsidRPr="007826B9" w:rsidRDefault="00094478" w:rsidP="003C6E36">
      <w:pPr>
        <w:spacing w:after="0" w:line="360" w:lineRule="auto"/>
        <w:jc w:val="both"/>
        <w:rPr>
          <w:rFonts w:ascii="Times New Roman" w:hAnsi="Times New Roman" w:cs="Times New Roman"/>
          <w:b/>
          <w:sz w:val="24"/>
          <w:szCs w:val="24"/>
        </w:rPr>
      </w:pPr>
      <w:r w:rsidRPr="000D3843">
        <w:rPr>
          <w:rFonts w:ascii="Times New Roman" w:hAnsi="Times New Roman" w:cs="Times New Roman"/>
          <w:b/>
          <w:sz w:val="24"/>
          <w:szCs w:val="24"/>
        </w:rPr>
        <w:t xml:space="preserve">2.4 </w:t>
      </w:r>
      <w:r>
        <w:rPr>
          <w:rFonts w:ascii="Times New Roman" w:hAnsi="Times New Roman" w:cs="Times New Roman"/>
          <w:b/>
          <w:sz w:val="24"/>
          <w:szCs w:val="24"/>
        </w:rPr>
        <w:t>–</w:t>
      </w:r>
      <w:r w:rsidRPr="000D3843">
        <w:rPr>
          <w:rFonts w:ascii="Times New Roman" w:hAnsi="Times New Roman" w:cs="Times New Roman"/>
          <w:b/>
          <w:sz w:val="24"/>
          <w:szCs w:val="24"/>
        </w:rPr>
        <w:t xml:space="preserve"> </w:t>
      </w:r>
      <w:r w:rsidR="007D734D">
        <w:rPr>
          <w:rFonts w:ascii="Times New Roman" w:hAnsi="Times New Roman" w:cs="Times New Roman"/>
          <w:b/>
          <w:sz w:val="24"/>
          <w:szCs w:val="24"/>
        </w:rPr>
        <w:t xml:space="preserve">Processos de acúmulo de gordura </w:t>
      </w:r>
      <w:r w:rsidR="00F3311E" w:rsidRPr="00F3311E">
        <w:rPr>
          <w:rFonts w:ascii="Times New Roman" w:hAnsi="Times New Roman" w:cs="Times New Roman"/>
        </w:rPr>
        <w:t xml:space="preserve"> </w:t>
      </w:r>
    </w:p>
    <w:p w14:paraId="67CFD810" w14:textId="1120B12D" w:rsidR="00E65574" w:rsidRDefault="00D02DC6" w:rsidP="004551BD">
      <w:pPr>
        <w:pStyle w:val="NormalWeb"/>
        <w:spacing w:before="0" w:beforeAutospacing="0" w:after="0" w:afterAutospacing="0" w:line="360" w:lineRule="auto"/>
        <w:ind w:firstLine="708"/>
        <w:jc w:val="both"/>
        <w:rPr>
          <w:rFonts w:eastAsiaTheme="minorHAnsi"/>
          <w:lang w:eastAsia="en-US"/>
        </w:rPr>
      </w:pPr>
      <w:r w:rsidRPr="00F3311E">
        <w:rPr>
          <w:rFonts w:eastAsiaTheme="minorHAnsi"/>
          <w:lang w:eastAsia="en-US"/>
        </w:rPr>
        <w:t>Uma das técnicas de secagem mais utilizadas para lácteos desidratados é a secagem por atomização também conhecida como “spray drying”. O leite concentrado é pulverizado em pequenas gotículas na câmara de secagem que em contato com uma corrente de ar quente e seco, seca-se instantaneamente devido à diferença de temperatura e pressão parcial de vapor entre o ar e a gotícula (</w:t>
      </w:r>
      <w:r w:rsidR="008104BB">
        <w:rPr>
          <w:rFonts w:eastAsiaTheme="minorHAnsi"/>
          <w:lang w:eastAsia="en-US"/>
        </w:rPr>
        <w:t>PERRONE et al.</w:t>
      </w:r>
      <w:r w:rsidRPr="00F3311E">
        <w:rPr>
          <w:rFonts w:eastAsiaTheme="minorHAnsi"/>
          <w:lang w:eastAsia="en-US"/>
        </w:rPr>
        <w:t>, 20</w:t>
      </w:r>
      <w:r w:rsidR="008104BB">
        <w:rPr>
          <w:rFonts w:eastAsiaTheme="minorHAnsi"/>
          <w:lang w:eastAsia="en-US"/>
        </w:rPr>
        <w:t>16</w:t>
      </w:r>
      <w:r w:rsidRPr="00F3311E">
        <w:rPr>
          <w:rFonts w:eastAsiaTheme="minorHAnsi"/>
          <w:lang w:eastAsia="en-US"/>
        </w:rPr>
        <w:t>). O processo de secagem faz com que ocorra modificações estruturais e físico-químicas no leite, que por sua vez influenciará a reconstituição e propriedades de manuseamento dos pós.</w:t>
      </w:r>
      <w:bookmarkStart w:id="8" w:name="_Hlk527450441"/>
    </w:p>
    <w:p w14:paraId="04625961" w14:textId="688FA590" w:rsidR="00D02DC6" w:rsidRPr="0049794F" w:rsidRDefault="000B5396" w:rsidP="004551BD">
      <w:pPr>
        <w:pStyle w:val="NormalWeb"/>
        <w:spacing w:before="0" w:beforeAutospacing="0" w:after="0" w:afterAutospacing="0" w:line="360" w:lineRule="auto"/>
        <w:ind w:firstLine="708"/>
        <w:jc w:val="both"/>
        <w:rPr>
          <w:rFonts w:eastAsiaTheme="minorHAnsi"/>
          <w:lang w:eastAsia="en-US"/>
        </w:rPr>
      </w:pPr>
      <w:r w:rsidRPr="0049794F">
        <w:lastRenderedPageBreak/>
        <w:t>A</w:t>
      </w:r>
      <w:r w:rsidR="00D02DC6" w:rsidRPr="0049794F">
        <w:t xml:space="preserve"> migração de componentes do leite ocorre tanto durante a atomização</w:t>
      </w:r>
      <w:r w:rsidRPr="0049794F">
        <w:t xml:space="preserve"> (</w:t>
      </w:r>
      <w:r w:rsidR="00D02DC6" w:rsidRPr="0049794F">
        <w:t xml:space="preserve"> </w:t>
      </w:r>
      <w:r w:rsidRPr="0049794F">
        <w:t xml:space="preserve">Wu et al., 2014; </w:t>
      </w:r>
      <w:hyperlink r:id="rId24" w:anchor="bib24" w:history="1">
        <w:r w:rsidRPr="0049794F">
          <w:t>Foerster et al., 2016a</w:t>
        </w:r>
      </w:hyperlink>
      <w:r w:rsidRPr="0049794F">
        <w:t xml:space="preserve">; FOERSTER et al., 2017) quanto durante a secagem </w:t>
      </w:r>
      <w:r w:rsidR="00D02DC6" w:rsidRPr="0049794F">
        <w:t>(</w:t>
      </w:r>
      <w:r w:rsidRPr="0049794F">
        <w:t>ADHIKARI et al., 2009; GAIANI et al., 2010; FU; WOO; CHEN, 2011; NIKOLOVA et al., 2014; WU et al., 2014; KELLY et al., 2015</w:t>
      </w:r>
      <w:r w:rsidR="00D02DC6" w:rsidRPr="0049794F">
        <w:t xml:space="preserve">). Durante ambos os processos, as gorduras do leite se acumulam preferencialmente na superfície das gotículas de leite, levando a uma cobertura de gordura dominante no leite em pó </w:t>
      </w:r>
      <w:bookmarkEnd w:id="8"/>
      <w:r w:rsidR="00D02DC6" w:rsidRPr="0049794F">
        <w:t>(KIM et al., 2009; FU; WOO; CHEN, 2011</w:t>
      </w:r>
      <w:r w:rsidRPr="0049794F">
        <w:t>; FOERSTER et al., 2017</w:t>
      </w:r>
      <w:r w:rsidR="00D02DC6" w:rsidRPr="0049794F">
        <w:t>)</w:t>
      </w:r>
    </w:p>
    <w:p w14:paraId="1B2228EC" w14:textId="2FB3DE6E" w:rsidR="00F3311E" w:rsidRPr="00F3311E" w:rsidRDefault="00F3311E" w:rsidP="004551BD">
      <w:pPr>
        <w:spacing w:after="0" w:line="360" w:lineRule="auto"/>
        <w:ind w:firstLine="708"/>
        <w:jc w:val="both"/>
        <w:rPr>
          <w:rFonts w:ascii="Times New Roman" w:hAnsi="Times New Roman" w:cs="Times New Roman"/>
          <w:sz w:val="24"/>
          <w:szCs w:val="24"/>
        </w:rPr>
      </w:pPr>
      <w:r w:rsidRPr="0049794F">
        <w:rPr>
          <w:rFonts w:ascii="Times New Roman" w:hAnsi="Times New Roman" w:cs="Times New Roman"/>
          <w:sz w:val="24"/>
          <w:szCs w:val="24"/>
        </w:rPr>
        <w:t>Os principais fatores que foram estudados como causadores da segregação durante a secagem</w:t>
      </w:r>
      <w:r w:rsidR="00424926" w:rsidRPr="0049794F">
        <w:rPr>
          <w:rFonts w:ascii="Times New Roman" w:hAnsi="Times New Roman" w:cs="Times New Roman"/>
          <w:sz w:val="24"/>
          <w:szCs w:val="24"/>
        </w:rPr>
        <w:t>, onde as gotículas entram em contato com o ar quente,</w:t>
      </w:r>
      <w:r w:rsidRPr="0049794F">
        <w:rPr>
          <w:rFonts w:ascii="Times New Roman" w:hAnsi="Times New Roman" w:cs="Times New Roman"/>
          <w:sz w:val="24"/>
          <w:szCs w:val="24"/>
        </w:rPr>
        <w:t xml:space="preserve"> foram  a difusividade, atividade de superfície, hidrofobicidade dos componentes</w:t>
      </w:r>
      <w:r w:rsidRPr="00F3311E">
        <w:rPr>
          <w:rFonts w:ascii="Times New Roman" w:hAnsi="Times New Roman" w:cs="Times New Roman"/>
          <w:sz w:val="24"/>
          <w:szCs w:val="24"/>
        </w:rPr>
        <w:t xml:space="preserve"> e formação de crosta (</w:t>
      </w:r>
      <w:r w:rsidR="007826B9" w:rsidRPr="00F3311E">
        <w:rPr>
          <w:rFonts w:ascii="Times New Roman" w:hAnsi="Times New Roman" w:cs="Times New Roman"/>
          <w:sz w:val="24"/>
          <w:szCs w:val="24"/>
        </w:rPr>
        <w:t>ADHIKARI et</w:t>
      </w:r>
      <w:r w:rsidR="007826B9">
        <w:rPr>
          <w:rFonts w:ascii="Times New Roman" w:hAnsi="Times New Roman" w:cs="Times New Roman"/>
          <w:sz w:val="24"/>
          <w:szCs w:val="24"/>
        </w:rPr>
        <w:t xml:space="preserve"> al., 2009; GAIANI et al., </w:t>
      </w:r>
      <w:r w:rsidR="007826B9" w:rsidRPr="00F3311E">
        <w:rPr>
          <w:rFonts w:ascii="Times New Roman" w:hAnsi="Times New Roman" w:cs="Times New Roman"/>
          <w:sz w:val="24"/>
          <w:szCs w:val="24"/>
        </w:rPr>
        <w:t>2010</w:t>
      </w:r>
      <w:r w:rsidR="007826B9">
        <w:rPr>
          <w:rFonts w:ascii="Times New Roman" w:hAnsi="Times New Roman" w:cs="Times New Roman"/>
          <w:sz w:val="24"/>
          <w:szCs w:val="24"/>
        </w:rPr>
        <w:t xml:space="preserve">; </w:t>
      </w:r>
      <w:r w:rsidRPr="00F3311E">
        <w:rPr>
          <w:rFonts w:ascii="Times New Roman" w:hAnsi="Times New Roman" w:cs="Times New Roman"/>
          <w:sz w:val="24"/>
          <w:szCs w:val="24"/>
        </w:rPr>
        <w:t>FU; WO</w:t>
      </w:r>
      <w:r w:rsidR="007826B9">
        <w:rPr>
          <w:rFonts w:ascii="Times New Roman" w:hAnsi="Times New Roman" w:cs="Times New Roman"/>
          <w:sz w:val="24"/>
          <w:szCs w:val="24"/>
        </w:rPr>
        <w:t>O; CHEN, 2011</w:t>
      </w:r>
      <w:r w:rsidRPr="00F3311E">
        <w:rPr>
          <w:rFonts w:ascii="Times New Roman" w:hAnsi="Times New Roman" w:cs="Times New Roman"/>
          <w:sz w:val="24"/>
          <w:szCs w:val="24"/>
        </w:rPr>
        <w:t>; NIKOLOVA et al., 2014; WU et al., 2014</w:t>
      </w:r>
      <w:r w:rsidR="007826B9">
        <w:rPr>
          <w:rFonts w:ascii="Times New Roman" w:hAnsi="Times New Roman" w:cs="Times New Roman"/>
          <w:sz w:val="24"/>
          <w:szCs w:val="24"/>
        </w:rPr>
        <w:t xml:space="preserve">; </w:t>
      </w:r>
      <w:r w:rsidR="007826B9" w:rsidRPr="00F3311E">
        <w:rPr>
          <w:rFonts w:ascii="Times New Roman" w:hAnsi="Times New Roman" w:cs="Times New Roman"/>
          <w:sz w:val="24"/>
          <w:szCs w:val="24"/>
        </w:rPr>
        <w:t>KELLY et al., 2015</w:t>
      </w:r>
      <w:r w:rsidR="002B219F">
        <w:rPr>
          <w:rFonts w:ascii="Times New Roman" w:hAnsi="Times New Roman" w:cs="Times New Roman"/>
          <w:sz w:val="24"/>
          <w:szCs w:val="24"/>
        </w:rPr>
        <w:t>)</w:t>
      </w:r>
      <w:r w:rsidR="00424926">
        <w:rPr>
          <w:rFonts w:ascii="Times New Roman" w:hAnsi="Times New Roman" w:cs="Times New Roman"/>
          <w:sz w:val="24"/>
          <w:szCs w:val="24"/>
        </w:rPr>
        <w:t>.</w:t>
      </w:r>
    </w:p>
    <w:p w14:paraId="0888B935" w14:textId="77777777" w:rsidR="00F3311E" w:rsidRPr="00F3311E" w:rsidRDefault="00F3311E" w:rsidP="004551BD">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 xml:space="preserve">No caso da atomização propõe-se que durante o estágio de atomização, um mecanismo de desintegração ao longo da interface óleo-água dos glóbulos de gordura cause a predominância superficial da gordura (FOERSTER et al., 2016, FOERSTER et al., 2017). </w:t>
      </w:r>
    </w:p>
    <w:p w14:paraId="0035E712" w14:textId="171971D1" w:rsidR="00F3311E" w:rsidRDefault="00F3311E" w:rsidP="004551BD">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O teor de gordura superficial não é significativamente redutível, modificando as condições de secagem por pulverização</w:t>
      </w:r>
      <w:r w:rsidR="002B219F">
        <w:rPr>
          <w:rFonts w:ascii="Times New Roman" w:hAnsi="Times New Roman" w:cs="Times New Roman"/>
          <w:sz w:val="24"/>
          <w:szCs w:val="24"/>
        </w:rPr>
        <w:t>, já que grande parte da gordura já se acumula na superfície dos pós durante a etapa de atomização,</w:t>
      </w:r>
      <w:r w:rsidR="007D734D">
        <w:rPr>
          <w:rFonts w:ascii="Times New Roman" w:hAnsi="Times New Roman" w:cs="Times New Roman"/>
          <w:sz w:val="24"/>
          <w:szCs w:val="24"/>
        </w:rPr>
        <w:t xml:space="preserve"> e por esse motivo u</w:t>
      </w:r>
      <w:r w:rsidRPr="00F3311E">
        <w:rPr>
          <w:rFonts w:ascii="Times New Roman" w:hAnsi="Times New Roman" w:cs="Times New Roman"/>
          <w:sz w:val="24"/>
          <w:szCs w:val="24"/>
        </w:rPr>
        <w:t>ma forma promissora de reduzir a quantidade de gordura superficial é modificar a emulsão antes da secagem por pulverização, de modo a moderar a segregação entre o lipídio e a fase aquosa durante a atomização (FOERSTER et al., 2016; FOERSTER et al., 2017).</w:t>
      </w:r>
    </w:p>
    <w:p w14:paraId="5A49F0C5" w14:textId="4F3064B1" w:rsidR="00F3311E" w:rsidRDefault="00F3311E" w:rsidP="003C6E36">
      <w:pPr>
        <w:pStyle w:val="PargrafodaLista"/>
        <w:numPr>
          <w:ilvl w:val="1"/>
          <w:numId w:val="2"/>
        </w:numPr>
        <w:spacing w:after="0" w:line="360" w:lineRule="auto"/>
        <w:ind w:left="0" w:firstLine="0"/>
        <w:jc w:val="both"/>
        <w:rPr>
          <w:rFonts w:ascii="Times New Roman" w:hAnsi="Times New Roman" w:cs="Times New Roman"/>
          <w:b/>
          <w:sz w:val="24"/>
          <w:szCs w:val="24"/>
        </w:rPr>
      </w:pPr>
      <w:r w:rsidRPr="001D025B">
        <w:rPr>
          <w:rFonts w:ascii="Times New Roman" w:hAnsi="Times New Roman" w:cs="Times New Roman"/>
          <w:b/>
          <w:sz w:val="24"/>
          <w:szCs w:val="24"/>
        </w:rPr>
        <w:t xml:space="preserve">– </w:t>
      </w:r>
      <w:r w:rsidR="001D025B" w:rsidRPr="001D025B">
        <w:rPr>
          <w:rFonts w:ascii="Times New Roman" w:hAnsi="Times New Roman" w:cs="Times New Roman"/>
          <w:b/>
          <w:sz w:val="24"/>
          <w:szCs w:val="24"/>
        </w:rPr>
        <w:t>PROCESSOS DE ESTABILIZAÇÃO</w:t>
      </w:r>
    </w:p>
    <w:p w14:paraId="717C5C70" w14:textId="344E93DA" w:rsidR="00C51637" w:rsidRPr="00C51637" w:rsidRDefault="00C51637" w:rsidP="003C6E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2.5.1</w:t>
      </w:r>
      <w:r w:rsidRPr="00C51637">
        <w:rPr>
          <w:rFonts w:ascii="Times New Roman" w:hAnsi="Times New Roman" w:cs="Times New Roman"/>
          <w:b/>
          <w:sz w:val="24"/>
          <w:szCs w:val="24"/>
        </w:rPr>
        <w:t xml:space="preserve"> Lecitinação </w:t>
      </w:r>
    </w:p>
    <w:p w14:paraId="4AF332B7" w14:textId="2F6A4131" w:rsidR="00C51637" w:rsidRPr="00C51637" w:rsidRDefault="00C51637" w:rsidP="004551BD">
      <w:pPr>
        <w:spacing w:after="0" w:line="360" w:lineRule="auto"/>
        <w:ind w:firstLine="708"/>
        <w:jc w:val="both"/>
        <w:rPr>
          <w:rFonts w:ascii="Times New Roman" w:hAnsi="Times New Roman" w:cs="Times New Roman"/>
          <w:sz w:val="24"/>
          <w:szCs w:val="24"/>
        </w:rPr>
      </w:pPr>
      <w:r w:rsidRPr="00C51637">
        <w:rPr>
          <w:rFonts w:ascii="Times New Roman" w:hAnsi="Times New Roman" w:cs="Times New Roman"/>
          <w:sz w:val="24"/>
          <w:szCs w:val="24"/>
        </w:rPr>
        <w:t xml:space="preserve">A lecitina tem propriedades </w:t>
      </w:r>
      <w:r w:rsidR="00456914" w:rsidRPr="00C51637">
        <w:rPr>
          <w:rFonts w:ascii="Times New Roman" w:hAnsi="Times New Roman" w:cs="Times New Roman"/>
          <w:sz w:val="24"/>
          <w:szCs w:val="24"/>
        </w:rPr>
        <w:t>hidrofílicas</w:t>
      </w:r>
      <w:r w:rsidRPr="00C51637">
        <w:rPr>
          <w:rFonts w:ascii="Times New Roman" w:hAnsi="Times New Roman" w:cs="Times New Roman"/>
          <w:sz w:val="24"/>
          <w:szCs w:val="24"/>
        </w:rPr>
        <w:t xml:space="preserve"> e lipofílicas e pode ser utilizada para recobrir a superfície das partículas do leite em pó, suas características </w:t>
      </w:r>
      <w:r w:rsidR="00656284" w:rsidRPr="00C51637">
        <w:rPr>
          <w:rFonts w:ascii="Times New Roman" w:hAnsi="Times New Roman" w:cs="Times New Roman"/>
          <w:sz w:val="24"/>
          <w:szCs w:val="24"/>
        </w:rPr>
        <w:t>anfifílicas</w:t>
      </w:r>
      <w:r w:rsidRPr="00C51637">
        <w:rPr>
          <w:rFonts w:ascii="Times New Roman" w:hAnsi="Times New Roman" w:cs="Times New Roman"/>
          <w:sz w:val="24"/>
          <w:szCs w:val="24"/>
        </w:rPr>
        <w:t xml:space="preserve"> permitem que elas sejam adsorvida na interface gordura / água, com a porção hidrofílica na fase aquosa e a porção lipofílica na fase oleosa. O resultado é um revestimento em torno da superfície das partículas de leite em pó (contendo gordura) aumentando a sua afinidade pela água servindo literalmente de ponte entre a gordura e a água e facilitando, assim, a dispersão do pó (</w:t>
      </w:r>
      <w:r w:rsidR="00BA6784" w:rsidRPr="00BA6784">
        <w:rPr>
          <w:rFonts w:ascii="Times New Roman" w:hAnsi="Times New Roman" w:cs="Times New Roman"/>
          <w:sz w:val="24"/>
          <w:szCs w:val="24"/>
        </w:rPr>
        <w:t>PISECKY</w:t>
      </w:r>
      <w:r w:rsidRPr="00C51637">
        <w:rPr>
          <w:rFonts w:ascii="Times New Roman" w:hAnsi="Times New Roman" w:cs="Times New Roman"/>
          <w:sz w:val="24"/>
          <w:szCs w:val="24"/>
        </w:rPr>
        <w:t>, 20</w:t>
      </w:r>
      <w:r w:rsidR="00BA6784">
        <w:rPr>
          <w:rFonts w:ascii="Times New Roman" w:hAnsi="Times New Roman" w:cs="Times New Roman"/>
          <w:sz w:val="24"/>
          <w:szCs w:val="24"/>
        </w:rPr>
        <w:t>12</w:t>
      </w:r>
      <w:r w:rsidRPr="00C51637">
        <w:rPr>
          <w:rFonts w:ascii="Times New Roman" w:hAnsi="Times New Roman" w:cs="Times New Roman"/>
          <w:sz w:val="24"/>
          <w:szCs w:val="24"/>
        </w:rPr>
        <w:t>). O teor máximo permitido no Brasil de lecitina para leite em pó instantâneo é de 5g/kg (BRASIL,</w:t>
      </w:r>
      <w:r w:rsidR="00ED7118">
        <w:rPr>
          <w:rFonts w:ascii="Times New Roman" w:hAnsi="Times New Roman" w:cs="Times New Roman"/>
          <w:sz w:val="24"/>
          <w:szCs w:val="24"/>
        </w:rPr>
        <w:t>2018</w:t>
      </w:r>
      <w:r w:rsidRPr="00C51637">
        <w:rPr>
          <w:rFonts w:ascii="Times New Roman" w:hAnsi="Times New Roman" w:cs="Times New Roman"/>
          <w:sz w:val="24"/>
          <w:szCs w:val="24"/>
        </w:rPr>
        <w:t>).</w:t>
      </w:r>
    </w:p>
    <w:p w14:paraId="6EED8466" w14:textId="77777777" w:rsidR="00C51637" w:rsidRPr="00C51637" w:rsidRDefault="00C51637" w:rsidP="003C6E36">
      <w:pPr>
        <w:spacing w:after="0" w:line="360" w:lineRule="auto"/>
        <w:jc w:val="both"/>
        <w:rPr>
          <w:rFonts w:ascii="Times New Roman" w:hAnsi="Times New Roman" w:cs="Times New Roman"/>
          <w:b/>
          <w:sz w:val="24"/>
          <w:szCs w:val="24"/>
        </w:rPr>
      </w:pPr>
      <w:r w:rsidRPr="00C51637">
        <w:rPr>
          <w:rFonts w:ascii="Times New Roman" w:hAnsi="Times New Roman" w:cs="Times New Roman"/>
          <w:b/>
          <w:sz w:val="24"/>
          <w:szCs w:val="24"/>
        </w:rPr>
        <w:t>2.5.3 Aglomeração</w:t>
      </w:r>
    </w:p>
    <w:p w14:paraId="409A3F8A" w14:textId="2E4AACF4" w:rsidR="00C51637" w:rsidRPr="00C51637" w:rsidRDefault="00C51637" w:rsidP="004551BD">
      <w:pPr>
        <w:spacing w:after="0" w:line="360" w:lineRule="auto"/>
        <w:ind w:firstLine="708"/>
        <w:jc w:val="both"/>
        <w:rPr>
          <w:rFonts w:ascii="Times New Roman" w:hAnsi="Times New Roman" w:cs="Times New Roman"/>
          <w:sz w:val="24"/>
          <w:szCs w:val="24"/>
        </w:rPr>
      </w:pPr>
      <w:r w:rsidRPr="00C51637">
        <w:rPr>
          <w:rFonts w:ascii="Times New Roman" w:hAnsi="Times New Roman" w:cs="Times New Roman"/>
          <w:sz w:val="24"/>
          <w:szCs w:val="24"/>
        </w:rPr>
        <w:t xml:space="preserve">A aglomeração em leito fluidizado é utilizada para produzir aglomerados secos grandes e porosos com propriedades instantâneas melhoradas. É um processo de transformação do </w:t>
      </w:r>
      <w:r w:rsidRPr="006A0514">
        <w:rPr>
          <w:rFonts w:ascii="Times New Roman" w:hAnsi="Times New Roman" w:cs="Times New Roman"/>
          <w:sz w:val="24"/>
          <w:szCs w:val="24"/>
        </w:rPr>
        <w:lastRenderedPageBreak/>
        <w:t xml:space="preserve">material do estado do pó para o estado de </w:t>
      </w:r>
      <w:r w:rsidR="0049794F" w:rsidRPr="006A0514">
        <w:rPr>
          <w:rFonts w:ascii="Times New Roman" w:hAnsi="Times New Roman" w:cs="Times New Roman"/>
          <w:sz w:val="24"/>
          <w:szCs w:val="24"/>
        </w:rPr>
        <w:t>grânulos com estrutura porosa p</w:t>
      </w:r>
      <w:r w:rsidRPr="006A0514">
        <w:rPr>
          <w:rFonts w:ascii="Times New Roman" w:hAnsi="Times New Roman" w:cs="Times New Roman"/>
          <w:sz w:val="24"/>
          <w:szCs w:val="24"/>
        </w:rPr>
        <w:t xml:space="preserve">ermitindo melhorias na reconstituição do leite em pó. As partículas de pó secas por atomização são umidificadas, inchando rapidamente e fechando os capilares, de modo que suas superfícies se tornem pegajosas e se colem umas às outras para formar aglomerados / conglomerados (BARKOUTI et al., 2013). </w:t>
      </w:r>
      <w:r w:rsidR="009442AC" w:rsidRPr="006A0514">
        <w:rPr>
          <w:rFonts w:ascii="Times New Roman" w:hAnsi="Times New Roman" w:cs="Times New Roman"/>
          <w:sz w:val="24"/>
          <w:szCs w:val="24"/>
        </w:rPr>
        <w:t xml:space="preserve">As propriedades de reidratação (por exemplo, molhabilidade, capacidade de escoamento, </w:t>
      </w:r>
      <w:r w:rsidR="00656284" w:rsidRPr="006A0514">
        <w:rPr>
          <w:rFonts w:ascii="Times New Roman" w:hAnsi="Times New Roman" w:cs="Times New Roman"/>
          <w:sz w:val="24"/>
          <w:szCs w:val="24"/>
        </w:rPr>
        <w:t>dispensabilidade</w:t>
      </w:r>
      <w:r w:rsidR="009442AC" w:rsidRPr="006A0514">
        <w:rPr>
          <w:rFonts w:ascii="Times New Roman" w:hAnsi="Times New Roman" w:cs="Times New Roman"/>
          <w:sz w:val="24"/>
          <w:szCs w:val="24"/>
        </w:rPr>
        <w:t xml:space="preserve">, solubilidade e taxa de dissolução) são aprimoradas. </w:t>
      </w:r>
      <w:r w:rsidRPr="006A0514">
        <w:rPr>
          <w:rFonts w:ascii="Times New Roman" w:hAnsi="Times New Roman" w:cs="Times New Roman"/>
          <w:sz w:val="24"/>
          <w:szCs w:val="24"/>
        </w:rPr>
        <w:t xml:space="preserve">Em grandes indústrias, são as etapas de aglomeração e lecitinação que dão ao leite em pó seu caráter instantâneo, por meio de uma unidade </w:t>
      </w:r>
      <w:r w:rsidRPr="00C51637">
        <w:rPr>
          <w:rFonts w:ascii="Times New Roman" w:hAnsi="Times New Roman" w:cs="Times New Roman"/>
          <w:sz w:val="24"/>
          <w:szCs w:val="24"/>
        </w:rPr>
        <w:t>de leito fluidizado adicionada ao final da linha de secagem por pulverização (GAIANI et al., 2010).</w:t>
      </w:r>
    </w:p>
    <w:p w14:paraId="51CE9483" w14:textId="4679901B" w:rsidR="001D025B" w:rsidRPr="001D025B" w:rsidRDefault="001D025B" w:rsidP="003C6E36">
      <w:pPr>
        <w:spacing w:after="0" w:line="360" w:lineRule="auto"/>
        <w:jc w:val="both"/>
        <w:rPr>
          <w:rFonts w:ascii="Times New Roman" w:hAnsi="Times New Roman" w:cs="Times New Roman"/>
          <w:b/>
          <w:sz w:val="24"/>
          <w:szCs w:val="24"/>
        </w:rPr>
      </w:pPr>
      <w:r w:rsidRPr="001D025B">
        <w:rPr>
          <w:rFonts w:ascii="Times New Roman" w:hAnsi="Times New Roman" w:cs="Times New Roman"/>
          <w:b/>
          <w:sz w:val="24"/>
          <w:szCs w:val="24"/>
        </w:rPr>
        <w:t>2.5.1 Adição de estabilizantes a emulsão</w:t>
      </w:r>
    </w:p>
    <w:p w14:paraId="3389CE1D" w14:textId="1EF68465" w:rsidR="00F3311E" w:rsidRPr="00AA02EC" w:rsidRDefault="00F3311E" w:rsidP="004551BD">
      <w:pPr>
        <w:spacing w:after="0" w:line="360" w:lineRule="auto"/>
        <w:ind w:firstLine="708"/>
        <w:jc w:val="both"/>
        <w:rPr>
          <w:rFonts w:ascii="Times New Roman" w:hAnsi="Times New Roman" w:cs="Times New Roman"/>
          <w:sz w:val="24"/>
          <w:szCs w:val="24"/>
          <w:lang w:val="en-US"/>
        </w:rPr>
      </w:pPr>
      <w:r w:rsidRPr="00F3311E">
        <w:rPr>
          <w:rFonts w:ascii="Times New Roman" w:hAnsi="Times New Roman" w:cs="Times New Roman"/>
          <w:sz w:val="24"/>
          <w:szCs w:val="24"/>
        </w:rPr>
        <w:t xml:space="preserve">Algumas formas de reduzir o teor de gordura livre pode ser pela estabilização da emulsão antes dela passar pelo processo de secagem, que consiste no encapsulamento eficiente da gordura (FOERSTER et al., 2017; JAFARI et al., 2008; SARKAR et al., 2016). Isso pode ser feito pela adição de agentes interfaciais, como surfactantes, polissacarídeos, e outros </w:t>
      </w:r>
      <w:r w:rsidR="0049794F">
        <w:rPr>
          <w:rFonts w:ascii="Times New Roman" w:hAnsi="Times New Roman" w:cs="Times New Roman"/>
          <w:sz w:val="24"/>
          <w:szCs w:val="24"/>
        </w:rPr>
        <w:t xml:space="preserve">agentes interfaciais </w:t>
      </w:r>
      <w:r w:rsidRPr="00F3311E">
        <w:rPr>
          <w:rFonts w:ascii="Times New Roman" w:hAnsi="Times New Roman" w:cs="Times New Roman"/>
          <w:sz w:val="24"/>
          <w:szCs w:val="24"/>
        </w:rPr>
        <w:t>antes do processo de atomização.</w:t>
      </w:r>
      <w:r w:rsidR="00611197">
        <w:rPr>
          <w:rFonts w:ascii="Times New Roman" w:hAnsi="Times New Roman" w:cs="Times New Roman"/>
          <w:sz w:val="24"/>
          <w:szCs w:val="24"/>
        </w:rPr>
        <w:t xml:space="preserve"> </w:t>
      </w:r>
      <w:r w:rsidRPr="00F3311E">
        <w:rPr>
          <w:rFonts w:ascii="Times New Roman" w:hAnsi="Times New Roman" w:cs="Times New Roman"/>
          <w:sz w:val="24"/>
          <w:szCs w:val="24"/>
        </w:rPr>
        <w:t xml:space="preserve"> </w:t>
      </w:r>
      <w:r w:rsidRPr="00AA02EC">
        <w:rPr>
          <w:rFonts w:ascii="Times New Roman" w:hAnsi="Times New Roman" w:cs="Times New Roman"/>
          <w:sz w:val="24"/>
          <w:szCs w:val="24"/>
          <w:lang w:val="en-US"/>
        </w:rPr>
        <w:t>(</w:t>
      </w:r>
      <w:bookmarkStart w:id="9" w:name="bbib26"/>
      <w:r w:rsidRPr="00F3311E">
        <w:rPr>
          <w:rFonts w:ascii="Times New Roman" w:hAnsi="Times New Roman" w:cs="Times New Roman"/>
          <w:sz w:val="24"/>
          <w:szCs w:val="24"/>
        </w:rPr>
        <w:fldChar w:fldCharType="begin"/>
      </w:r>
      <w:r w:rsidRPr="00AA02EC">
        <w:rPr>
          <w:rFonts w:ascii="Times New Roman" w:hAnsi="Times New Roman" w:cs="Times New Roman"/>
          <w:sz w:val="24"/>
          <w:szCs w:val="24"/>
          <w:lang w:val="en-US"/>
        </w:rPr>
        <w:instrText xml:space="preserve"> HYPERLINK "https://www.sciencedirect.com/science/article/pii/S0268005X16306452" \l "bib26" </w:instrText>
      </w:r>
      <w:r w:rsidRPr="00F3311E">
        <w:rPr>
          <w:rFonts w:ascii="Times New Roman" w:hAnsi="Times New Roman" w:cs="Times New Roman"/>
          <w:sz w:val="24"/>
          <w:szCs w:val="24"/>
        </w:rPr>
        <w:fldChar w:fldCharType="separate"/>
      </w:r>
      <w:r w:rsidRPr="00AA02EC">
        <w:rPr>
          <w:rFonts w:ascii="Times New Roman" w:hAnsi="Times New Roman" w:cs="Times New Roman"/>
          <w:lang w:val="en-US"/>
        </w:rPr>
        <w:t>FONSECA et al., 2011</w:t>
      </w:r>
      <w:r w:rsidRPr="00F3311E">
        <w:rPr>
          <w:rFonts w:ascii="Times New Roman" w:hAnsi="Times New Roman" w:cs="Times New Roman"/>
          <w:sz w:val="24"/>
          <w:szCs w:val="24"/>
        </w:rPr>
        <w:fldChar w:fldCharType="end"/>
      </w:r>
      <w:bookmarkEnd w:id="9"/>
      <w:r w:rsidRPr="00AA02EC">
        <w:rPr>
          <w:rFonts w:ascii="Times New Roman" w:hAnsi="Times New Roman" w:cs="Times New Roman"/>
          <w:sz w:val="24"/>
          <w:szCs w:val="24"/>
          <w:lang w:val="en-US"/>
        </w:rPr>
        <w:t> ,</w:t>
      </w:r>
      <w:bookmarkStart w:id="10" w:name="bbib40"/>
      <w:r w:rsidRPr="00F3311E">
        <w:rPr>
          <w:rFonts w:ascii="Times New Roman" w:hAnsi="Times New Roman" w:cs="Times New Roman"/>
          <w:sz w:val="24"/>
          <w:szCs w:val="24"/>
        </w:rPr>
        <w:fldChar w:fldCharType="begin"/>
      </w:r>
      <w:r w:rsidRPr="00AA02EC">
        <w:rPr>
          <w:rFonts w:ascii="Times New Roman" w:hAnsi="Times New Roman" w:cs="Times New Roman"/>
          <w:sz w:val="24"/>
          <w:szCs w:val="24"/>
          <w:lang w:val="en-US"/>
        </w:rPr>
        <w:instrText xml:space="preserve"> HYPERLINK "https://www.sciencedirect.com/science/article/pii/S0268005X16306452" \l "bib40" </w:instrText>
      </w:r>
      <w:r w:rsidRPr="00F3311E">
        <w:rPr>
          <w:rFonts w:ascii="Times New Roman" w:hAnsi="Times New Roman" w:cs="Times New Roman"/>
          <w:sz w:val="24"/>
          <w:szCs w:val="24"/>
        </w:rPr>
        <w:fldChar w:fldCharType="separate"/>
      </w:r>
      <w:r w:rsidRPr="00AA02EC">
        <w:rPr>
          <w:rFonts w:ascii="Times New Roman" w:hAnsi="Times New Roman" w:cs="Times New Roman"/>
          <w:lang w:val="en-US"/>
        </w:rPr>
        <w:t>LALLBEEHARRY et al., 2014</w:t>
      </w:r>
      <w:r w:rsidRPr="00F3311E">
        <w:rPr>
          <w:rFonts w:ascii="Times New Roman" w:hAnsi="Times New Roman" w:cs="Times New Roman"/>
          <w:sz w:val="24"/>
          <w:szCs w:val="24"/>
        </w:rPr>
        <w:fldChar w:fldCharType="end"/>
      </w:r>
      <w:bookmarkEnd w:id="10"/>
      <w:r w:rsidRPr="00AA02EC">
        <w:rPr>
          <w:rFonts w:ascii="Times New Roman" w:hAnsi="Times New Roman" w:cs="Times New Roman"/>
          <w:sz w:val="24"/>
          <w:szCs w:val="24"/>
          <w:lang w:val="en-US"/>
        </w:rPr>
        <w:t>,</w:t>
      </w:r>
      <w:bookmarkStart w:id="11" w:name="bbib46"/>
      <w:r w:rsidR="002364B5">
        <w:rPr>
          <w:rFonts w:ascii="Times New Roman" w:hAnsi="Times New Roman" w:cs="Times New Roman"/>
          <w:sz w:val="24"/>
          <w:szCs w:val="24"/>
          <w:lang w:val="en-US"/>
        </w:rPr>
        <w:t xml:space="preserve"> </w:t>
      </w:r>
      <w:r w:rsidR="002364B5" w:rsidRPr="002364B5">
        <w:rPr>
          <w:rFonts w:ascii="Times New Roman" w:hAnsi="Times New Roman" w:cs="Times New Roman"/>
          <w:sz w:val="24"/>
          <w:szCs w:val="24"/>
          <w:lang w:val="en-US"/>
        </w:rPr>
        <w:t>Xu et al.</w:t>
      </w:r>
      <w:r w:rsidR="002364B5">
        <w:rPr>
          <w:rFonts w:ascii="Times New Roman" w:hAnsi="Times New Roman" w:cs="Times New Roman"/>
          <w:sz w:val="24"/>
          <w:szCs w:val="24"/>
          <w:lang w:val="en-US"/>
        </w:rPr>
        <w:t>,</w:t>
      </w:r>
      <w:r w:rsidR="002364B5" w:rsidRPr="002364B5">
        <w:rPr>
          <w:rFonts w:ascii="Times New Roman" w:hAnsi="Times New Roman" w:cs="Times New Roman"/>
          <w:sz w:val="24"/>
          <w:szCs w:val="24"/>
          <w:lang w:val="en-US"/>
        </w:rPr>
        <w:t xml:space="preserve"> 2013</w:t>
      </w:r>
      <w:r w:rsidR="002364B5">
        <w:rPr>
          <w:rFonts w:ascii="Times New Roman" w:hAnsi="Times New Roman" w:cs="Times New Roman"/>
          <w:sz w:val="24"/>
          <w:szCs w:val="24"/>
          <w:lang w:val="en-US"/>
        </w:rPr>
        <w:t xml:space="preserve">, </w:t>
      </w:r>
      <w:hyperlink r:id="rId25" w:anchor="bib46" w:history="1">
        <w:r w:rsidRPr="00AA02EC">
          <w:rPr>
            <w:rFonts w:ascii="Times New Roman" w:hAnsi="Times New Roman" w:cs="Times New Roman"/>
            <w:lang w:val="en-US"/>
          </w:rPr>
          <w:t>MILLQVIST-FUREBY; SMITH, 2007</w:t>
        </w:r>
      </w:hyperlink>
      <w:bookmarkStart w:id="12" w:name="bbib60"/>
      <w:bookmarkEnd w:id="11"/>
      <w:r w:rsidRPr="00AA02EC">
        <w:rPr>
          <w:rFonts w:ascii="Times New Roman" w:hAnsi="Times New Roman" w:cs="Times New Roman"/>
          <w:sz w:val="24"/>
          <w:szCs w:val="24"/>
          <w:lang w:val="en-US"/>
        </w:rPr>
        <w:t> </w:t>
      </w:r>
      <w:hyperlink r:id="rId26" w:anchor="bib60" w:history="1">
        <w:r w:rsidRPr="00AA02EC">
          <w:rPr>
            <w:rFonts w:ascii="Times New Roman" w:hAnsi="Times New Roman" w:cs="Times New Roman"/>
            <w:lang w:val="en-US"/>
          </w:rPr>
          <w:t xml:space="preserve">, WANG, LIU, CHEN; SELOMULYA, 2016; </w:t>
        </w:r>
        <w:r w:rsidRPr="00AA02EC">
          <w:rPr>
            <w:rFonts w:ascii="Times New Roman" w:hAnsi="Times New Roman" w:cs="Times New Roman"/>
            <w:sz w:val="24"/>
            <w:szCs w:val="24"/>
            <w:lang w:val="en-US"/>
          </w:rPr>
          <w:t>FOERSTER et al., 2017</w:t>
        </w:r>
        <w:r w:rsidRPr="00AA02EC">
          <w:rPr>
            <w:rFonts w:ascii="Times New Roman" w:hAnsi="Times New Roman" w:cs="Times New Roman"/>
            <w:lang w:val="en-US"/>
          </w:rPr>
          <w:t>)</w:t>
        </w:r>
      </w:hyperlink>
      <w:bookmarkEnd w:id="12"/>
      <w:r w:rsidRPr="00AA02EC">
        <w:rPr>
          <w:rFonts w:ascii="Times New Roman" w:hAnsi="Times New Roman" w:cs="Times New Roman"/>
          <w:sz w:val="24"/>
          <w:szCs w:val="24"/>
          <w:lang w:val="en-US"/>
        </w:rPr>
        <w:t>.</w:t>
      </w:r>
      <w:r w:rsidR="00611197" w:rsidRPr="00AA02EC">
        <w:rPr>
          <w:rFonts w:ascii="Times New Roman" w:hAnsi="Times New Roman" w:cs="Times New Roman"/>
          <w:sz w:val="24"/>
          <w:szCs w:val="24"/>
          <w:lang w:val="en-US"/>
        </w:rPr>
        <w:t xml:space="preserve"> </w:t>
      </w:r>
    </w:p>
    <w:p w14:paraId="48B4F471" w14:textId="56FE1F9C" w:rsidR="00F3311E" w:rsidRDefault="00F3311E" w:rsidP="004551BD">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 xml:space="preserve">Para emulsões lácteas a adição de agentes interfaciais pode ser de grande interesse, entretanto tratando-se de leite em pó, </w:t>
      </w:r>
      <w:r w:rsidR="0049794F">
        <w:rPr>
          <w:rFonts w:ascii="Times New Roman" w:hAnsi="Times New Roman" w:cs="Times New Roman"/>
          <w:sz w:val="24"/>
          <w:szCs w:val="24"/>
        </w:rPr>
        <w:t xml:space="preserve">como aditivo, </w:t>
      </w:r>
      <w:r w:rsidRPr="00F3311E">
        <w:rPr>
          <w:rFonts w:ascii="Times New Roman" w:hAnsi="Times New Roman" w:cs="Times New Roman"/>
          <w:sz w:val="24"/>
          <w:szCs w:val="24"/>
        </w:rPr>
        <w:t xml:space="preserve">somente é permitido </w:t>
      </w:r>
      <w:r w:rsidR="0049794F">
        <w:rPr>
          <w:rFonts w:ascii="Times New Roman" w:hAnsi="Times New Roman" w:cs="Times New Roman"/>
          <w:sz w:val="24"/>
          <w:szCs w:val="24"/>
        </w:rPr>
        <w:t>o uso d</w:t>
      </w:r>
      <w:r w:rsidRPr="00F3311E">
        <w:rPr>
          <w:rFonts w:ascii="Times New Roman" w:hAnsi="Times New Roman" w:cs="Times New Roman"/>
          <w:sz w:val="24"/>
          <w:szCs w:val="24"/>
        </w:rPr>
        <w:t>a lecitina, no teor máximo de 5g/kg para leite em pó instantâneo (BRASIL,</w:t>
      </w:r>
      <w:r w:rsidR="00ED7118">
        <w:rPr>
          <w:rFonts w:ascii="Times New Roman" w:hAnsi="Times New Roman" w:cs="Times New Roman"/>
          <w:sz w:val="24"/>
          <w:szCs w:val="24"/>
        </w:rPr>
        <w:t xml:space="preserve"> 2018</w:t>
      </w:r>
      <w:r w:rsidRPr="00F3311E">
        <w:rPr>
          <w:rFonts w:ascii="Times New Roman" w:hAnsi="Times New Roman" w:cs="Times New Roman"/>
          <w:sz w:val="24"/>
          <w:szCs w:val="24"/>
        </w:rPr>
        <w:t>). Portanto a estabilização com ou</w:t>
      </w:r>
      <w:r w:rsidR="0049794F">
        <w:rPr>
          <w:rFonts w:ascii="Times New Roman" w:hAnsi="Times New Roman" w:cs="Times New Roman"/>
          <w:sz w:val="24"/>
          <w:szCs w:val="24"/>
        </w:rPr>
        <w:t>tros compostos</w:t>
      </w:r>
      <w:r w:rsidRPr="00F3311E">
        <w:rPr>
          <w:rFonts w:ascii="Times New Roman" w:hAnsi="Times New Roman" w:cs="Times New Roman"/>
          <w:sz w:val="24"/>
          <w:szCs w:val="24"/>
        </w:rPr>
        <w:t xml:space="preserve"> não é possível. </w:t>
      </w:r>
    </w:p>
    <w:p w14:paraId="372D951D" w14:textId="7AF07BA9" w:rsidR="001D025B" w:rsidRPr="001D025B" w:rsidRDefault="001D025B" w:rsidP="003C6E36">
      <w:pPr>
        <w:spacing w:after="0" w:line="360" w:lineRule="auto"/>
        <w:jc w:val="both"/>
        <w:rPr>
          <w:rFonts w:ascii="Times New Roman" w:hAnsi="Times New Roman" w:cs="Times New Roman"/>
          <w:b/>
          <w:sz w:val="24"/>
          <w:szCs w:val="24"/>
        </w:rPr>
      </w:pPr>
      <w:r w:rsidRPr="001D025B">
        <w:rPr>
          <w:rFonts w:ascii="Times New Roman" w:hAnsi="Times New Roman" w:cs="Times New Roman"/>
          <w:b/>
          <w:sz w:val="24"/>
          <w:szCs w:val="24"/>
        </w:rPr>
        <w:t>2.5.2 Redução do</w:t>
      </w:r>
      <w:r w:rsidR="006A0514">
        <w:rPr>
          <w:rFonts w:ascii="Times New Roman" w:hAnsi="Times New Roman" w:cs="Times New Roman"/>
          <w:b/>
          <w:sz w:val="24"/>
          <w:szCs w:val="24"/>
        </w:rPr>
        <w:t xml:space="preserve"> tamanho do</w:t>
      </w:r>
      <w:r w:rsidRPr="001D025B">
        <w:rPr>
          <w:rFonts w:ascii="Times New Roman" w:hAnsi="Times New Roman" w:cs="Times New Roman"/>
          <w:b/>
          <w:sz w:val="24"/>
          <w:szCs w:val="24"/>
        </w:rPr>
        <w:t xml:space="preserve"> glóbulo de gordura por </w:t>
      </w:r>
      <w:r w:rsidR="006A0514">
        <w:rPr>
          <w:rFonts w:ascii="Times New Roman" w:hAnsi="Times New Roman" w:cs="Times New Roman"/>
          <w:b/>
          <w:sz w:val="24"/>
          <w:szCs w:val="24"/>
        </w:rPr>
        <w:t>h</w:t>
      </w:r>
      <w:r w:rsidRPr="001D025B">
        <w:rPr>
          <w:rFonts w:ascii="Times New Roman" w:hAnsi="Times New Roman" w:cs="Times New Roman"/>
          <w:b/>
          <w:sz w:val="24"/>
          <w:szCs w:val="24"/>
        </w:rPr>
        <w:t>omogeneização</w:t>
      </w:r>
    </w:p>
    <w:p w14:paraId="61127EF2" w14:textId="1BF2193F" w:rsidR="00F3311E" w:rsidRPr="00573A25" w:rsidRDefault="006F5D67" w:rsidP="004551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forma de reduzir a </w:t>
      </w:r>
      <w:r w:rsidR="003143A1">
        <w:rPr>
          <w:rFonts w:ascii="Times New Roman" w:hAnsi="Times New Roman" w:cs="Times New Roman"/>
          <w:sz w:val="24"/>
          <w:szCs w:val="24"/>
        </w:rPr>
        <w:t>ocorrência</w:t>
      </w:r>
      <w:r>
        <w:rPr>
          <w:rFonts w:ascii="Times New Roman" w:hAnsi="Times New Roman" w:cs="Times New Roman"/>
          <w:sz w:val="24"/>
          <w:szCs w:val="24"/>
        </w:rPr>
        <w:t xml:space="preserve"> de gordura livre na superfície do pó</w:t>
      </w:r>
      <w:r w:rsidR="00F3311E" w:rsidRPr="00F3311E">
        <w:rPr>
          <w:rFonts w:ascii="Times New Roman" w:hAnsi="Times New Roman" w:cs="Times New Roman"/>
          <w:sz w:val="24"/>
          <w:szCs w:val="24"/>
        </w:rPr>
        <w:t xml:space="preserve"> poderia ser a utilização de homogeneização, com pressões mais altas que as </w:t>
      </w:r>
      <w:r>
        <w:rPr>
          <w:rFonts w:ascii="Times New Roman" w:hAnsi="Times New Roman" w:cs="Times New Roman"/>
          <w:sz w:val="24"/>
          <w:szCs w:val="24"/>
        </w:rPr>
        <w:t>convencionais. H</w:t>
      </w:r>
      <w:r w:rsidR="00F3311E" w:rsidRPr="00F3311E">
        <w:rPr>
          <w:rFonts w:ascii="Times New Roman" w:hAnsi="Times New Roman" w:cs="Times New Roman"/>
          <w:sz w:val="24"/>
          <w:szCs w:val="24"/>
        </w:rPr>
        <w:t>avendo</w:t>
      </w:r>
      <w:r w:rsidR="00D521C6">
        <w:rPr>
          <w:rFonts w:ascii="Times New Roman" w:hAnsi="Times New Roman" w:cs="Times New Roman"/>
          <w:sz w:val="24"/>
          <w:szCs w:val="24"/>
        </w:rPr>
        <w:t xml:space="preserve"> por esse processo maior</w:t>
      </w:r>
      <w:r w:rsidR="00F3311E" w:rsidRPr="00F3311E">
        <w:rPr>
          <w:rFonts w:ascii="Times New Roman" w:hAnsi="Times New Roman" w:cs="Times New Roman"/>
          <w:sz w:val="24"/>
          <w:szCs w:val="24"/>
        </w:rPr>
        <w:t xml:space="preserve"> redução do tamanho dos glóbulos de gordura e melhor enc</w:t>
      </w:r>
      <w:r w:rsidR="00D521C6">
        <w:rPr>
          <w:rFonts w:ascii="Times New Roman" w:hAnsi="Times New Roman" w:cs="Times New Roman"/>
          <w:sz w:val="24"/>
          <w:szCs w:val="24"/>
        </w:rPr>
        <w:t>apsulamento desses glóbulos</w:t>
      </w:r>
      <w:r w:rsidR="00F3311E" w:rsidRPr="00F3311E">
        <w:rPr>
          <w:rFonts w:ascii="Times New Roman" w:hAnsi="Times New Roman" w:cs="Times New Roman"/>
          <w:sz w:val="24"/>
          <w:szCs w:val="24"/>
        </w:rPr>
        <w:t xml:space="preserve">, tornando a emulsão mais estável e possivelmente menor ocorrência de gordura livre na superfície do pó. A pressão de homogeneização mais comumente utilizada nas indústrias é em </w:t>
      </w:r>
      <w:r w:rsidR="00F3311E" w:rsidRPr="00573A25">
        <w:rPr>
          <w:rFonts w:ascii="Times New Roman" w:hAnsi="Times New Roman" w:cs="Times New Roman"/>
          <w:sz w:val="24"/>
          <w:szCs w:val="24"/>
        </w:rPr>
        <w:t>torno de 20 MPa. No entanto, com o desenvolvimento de projetos de homogeneizadores, os processos de homogeneização podem atingir pressões muito mais elevadas, como 350 MPa, (</w:t>
      </w:r>
      <w:r w:rsidR="00374D62" w:rsidRPr="00374D62">
        <w:rPr>
          <w:rFonts w:ascii="Times New Roman" w:hAnsi="Times New Roman" w:cs="Times New Roman"/>
          <w:sz w:val="24"/>
          <w:szCs w:val="24"/>
        </w:rPr>
        <w:t>MERCAN, SERT, AKIN, 2018</w:t>
      </w:r>
      <w:r w:rsidR="00F3311E" w:rsidRPr="00573A25">
        <w:rPr>
          <w:rFonts w:ascii="Times New Roman" w:hAnsi="Times New Roman" w:cs="Times New Roman"/>
          <w:sz w:val="24"/>
          <w:szCs w:val="24"/>
        </w:rPr>
        <w:t xml:space="preserve">) o que permite novas pesquisas, desenvolvimento de produtos e área de aplicações.  </w:t>
      </w:r>
    </w:p>
    <w:p w14:paraId="14D8779F" w14:textId="054C5436" w:rsidR="00573A25" w:rsidRDefault="00F3311E" w:rsidP="003C6E36">
      <w:pPr>
        <w:spacing w:after="0" w:line="360" w:lineRule="auto"/>
        <w:jc w:val="both"/>
        <w:rPr>
          <w:rFonts w:ascii="Times New Roman" w:hAnsi="Times New Roman" w:cs="Times New Roman"/>
          <w:sz w:val="24"/>
          <w:szCs w:val="24"/>
        </w:rPr>
      </w:pPr>
      <w:r w:rsidRPr="00573A25">
        <w:rPr>
          <w:rFonts w:ascii="Times New Roman" w:hAnsi="Times New Roman" w:cs="Times New Roman"/>
          <w:sz w:val="24"/>
          <w:szCs w:val="24"/>
        </w:rPr>
        <w:t xml:space="preserve"> </w:t>
      </w:r>
      <w:r w:rsidR="00573A25">
        <w:rPr>
          <w:rFonts w:ascii="Times New Roman" w:hAnsi="Times New Roman" w:cs="Times New Roman"/>
          <w:sz w:val="24"/>
          <w:szCs w:val="24"/>
        </w:rPr>
        <w:tab/>
      </w:r>
      <w:r w:rsidRPr="00573A25">
        <w:rPr>
          <w:rFonts w:ascii="Times New Roman" w:hAnsi="Times New Roman" w:cs="Times New Roman"/>
          <w:sz w:val="24"/>
          <w:szCs w:val="24"/>
        </w:rPr>
        <w:t xml:space="preserve">Durante a homogeneização há deformação e quebra de gotículas de gordura líquida, formando gotículas menores que são rapidamente adsorvidas pelo surfactante, que no caso do </w:t>
      </w:r>
      <w:r w:rsidRPr="00573A25">
        <w:rPr>
          <w:rFonts w:ascii="Times New Roman" w:hAnsi="Times New Roman" w:cs="Times New Roman"/>
          <w:sz w:val="24"/>
          <w:szCs w:val="24"/>
        </w:rPr>
        <w:lastRenderedPageBreak/>
        <w:t>leite são pelas suas proteínas</w:t>
      </w:r>
      <w:r w:rsidR="007A3607" w:rsidRPr="00573A25">
        <w:rPr>
          <w:rFonts w:ascii="Times New Roman" w:hAnsi="Times New Roman" w:cs="Times New Roman"/>
          <w:sz w:val="24"/>
          <w:szCs w:val="24"/>
        </w:rPr>
        <w:t xml:space="preserve"> </w:t>
      </w:r>
      <w:r w:rsidR="00573A25" w:rsidRPr="00573A25">
        <w:rPr>
          <w:rFonts w:ascii="Times New Roman" w:hAnsi="Times New Roman" w:cs="Times New Roman"/>
          <w:sz w:val="24"/>
          <w:szCs w:val="24"/>
        </w:rPr>
        <w:t xml:space="preserve">que </w:t>
      </w:r>
      <w:r w:rsidR="007A3607" w:rsidRPr="00573A25">
        <w:rPr>
          <w:rFonts w:ascii="Times New Roman" w:hAnsi="Times New Roman" w:cs="Times New Roman"/>
          <w:sz w:val="24"/>
          <w:szCs w:val="24"/>
        </w:rPr>
        <w:t>são capazes de ajudar na separação das gotículas durante a homogeneização e prevenção da coalescência das gotículas de óleo</w:t>
      </w:r>
      <w:r w:rsidR="00573A25">
        <w:rPr>
          <w:rFonts w:ascii="Times New Roman" w:hAnsi="Times New Roman" w:cs="Times New Roman"/>
          <w:sz w:val="24"/>
          <w:szCs w:val="24"/>
        </w:rPr>
        <w:t xml:space="preserve"> (</w:t>
      </w:r>
      <w:r w:rsidR="00E97E5C" w:rsidRPr="00E97E5C">
        <w:rPr>
          <w:rFonts w:ascii="Times New Roman" w:hAnsi="Times New Roman" w:cs="Times New Roman"/>
          <w:sz w:val="24"/>
          <w:szCs w:val="24"/>
        </w:rPr>
        <w:t>FENNEMA</w:t>
      </w:r>
      <w:r w:rsidR="00E97E5C">
        <w:rPr>
          <w:rFonts w:ascii="Times New Roman" w:hAnsi="Times New Roman" w:cs="Times New Roman"/>
          <w:sz w:val="24"/>
          <w:szCs w:val="24"/>
        </w:rPr>
        <w:t>,</w:t>
      </w:r>
      <w:r w:rsidR="00E97E5C" w:rsidRPr="00E97E5C">
        <w:rPr>
          <w:rFonts w:ascii="Times New Roman" w:hAnsi="Times New Roman" w:cs="Times New Roman"/>
          <w:sz w:val="24"/>
          <w:szCs w:val="24"/>
        </w:rPr>
        <w:t xml:space="preserve"> DAMODARAN</w:t>
      </w:r>
      <w:r w:rsidR="00E97E5C">
        <w:rPr>
          <w:rFonts w:ascii="Times New Roman" w:hAnsi="Times New Roman" w:cs="Times New Roman"/>
          <w:sz w:val="24"/>
          <w:szCs w:val="24"/>
        </w:rPr>
        <w:t>,</w:t>
      </w:r>
      <w:r w:rsidR="00E97E5C" w:rsidRPr="00E97E5C">
        <w:rPr>
          <w:rFonts w:ascii="Times New Roman" w:hAnsi="Times New Roman" w:cs="Times New Roman"/>
          <w:sz w:val="24"/>
          <w:szCs w:val="24"/>
        </w:rPr>
        <w:t xml:space="preserve"> PARKIN</w:t>
      </w:r>
      <w:r w:rsidR="00E97E5C">
        <w:rPr>
          <w:rFonts w:ascii="Times New Roman" w:hAnsi="Times New Roman" w:cs="Times New Roman"/>
          <w:sz w:val="24"/>
          <w:szCs w:val="24"/>
        </w:rPr>
        <w:t>,</w:t>
      </w:r>
      <w:r w:rsidR="00E97E5C" w:rsidRPr="00E97E5C">
        <w:rPr>
          <w:rFonts w:ascii="Times New Roman" w:hAnsi="Times New Roman" w:cs="Times New Roman"/>
          <w:sz w:val="24"/>
          <w:szCs w:val="24"/>
        </w:rPr>
        <w:t xml:space="preserve"> 2017</w:t>
      </w:r>
      <w:r w:rsidR="00573A25">
        <w:rPr>
          <w:rFonts w:ascii="Times New Roman" w:hAnsi="Times New Roman" w:cs="Times New Roman"/>
          <w:sz w:val="24"/>
          <w:szCs w:val="24"/>
        </w:rPr>
        <w:t xml:space="preserve">). </w:t>
      </w:r>
      <w:r w:rsidR="00573A25" w:rsidRPr="00573A25">
        <w:rPr>
          <w:rFonts w:ascii="Times New Roman" w:hAnsi="Times New Roman" w:cs="Times New Roman"/>
          <w:sz w:val="24"/>
          <w:szCs w:val="24"/>
        </w:rPr>
        <w:t>As</w:t>
      </w:r>
      <w:r w:rsidR="00573A25">
        <w:rPr>
          <w:rFonts w:ascii="Times New Roman" w:hAnsi="Times New Roman" w:cs="Times New Roman"/>
          <w:sz w:val="24"/>
          <w:szCs w:val="24"/>
        </w:rPr>
        <w:t xml:space="preserve"> proteínas do leite adsorvidas aos glóbulos de gordura</w:t>
      </w:r>
      <w:r w:rsidR="006A0514">
        <w:rPr>
          <w:rFonts w:ascii="Times New Roman" w:hAnsi="Times New Roman" w:cs="Times New Roman"/>
          <w:sz w:val="24"/>
          <w:szCs w:val="24"/>
        </w:rPr>
        <w:t xml:space="preserve"> são responsáveis por</w:t>
      </w:r>
      <w:r w:rsidR="00573A25" w:rsidRPr="00573A25">
        <w:rPr>
          <w:rFonts w:ascii="Times New Roman" w:hAnsi="Times New Roman" w:cs="Times New Roman"/>
          <w:sz w:val="24"/>
          <w:szCs w:val="24"/>
        </w:rPr>
        <w:t xml:space="preserve"> promover repulsão el</w:t>
      </w:r>
      <w:r w:rsidR="00573A25">
        <w:rPr>
          <w:rFonts w:ascii="Times New Roman" w:hAnsi="Times New Roman" w:cs="Times New Roman"/>
          <w:sz w:val="24"/>
          <w:szCs w:val="24"/>
        </w:rPr>
        <w:t>e</w:t>
      </w:r>
      <w:r w:rsidR="00573A25" w:rsidRPr="00573A25">
        <w:rPr>
          <w:rFonts w:ascii="Times New Roman" w:hAnsi="Times New Roman" w:cs="Times New Roman"/>
          <w:sz w:val="24"/>
          <w:szCs w:val="24"/>
        </w:rPr>
        <w:t xml:space="preserve">trostática entre </w:t>
      </w:r>
      <w:r w:rsidR="00573A25">
        <w:rPr>
          <w:rFonts w:ascii="Times New Roman" w:hAnsi="Times New Roman" w:cs="Times New Roman"/>
          <w:sz w:val="24"/>
          <w:szCs w:val="24"/>
        </w:rPr>
        <w:t>as gotículas e também promovem</w:t>
      </w:r>
      <w:r w:rsidR="00573A25" w:rsidRPr="00573A25">
        <w:rPr>
          <w:rFonts w:ascii="Times New Roman" w:hAnsi="Times New Roman" w:cs="Times New Roman"/>
          <w:sz w:val="24"/>
          <w:szCs w:val="24"/>
        </w:rPr>
        <w:t xml:space="preserve"> estabilização estérica.</w:t>
      </w:r>
      <w:r w:rsidR="00573A25">
        <w:rPr>
          <w:rFonts w:ascii="Times New Roman" w:hAnsi="Times New Roman" w:cs="Times New Roman"/>
          <w:sz w:val="24"/>
          <w:szCs w:val="24"/>
        </w:rPr>
        <w:t xml:space="preserve"> </w:t>
      </w:r>
    </w:p>
    <w:p w14:paraId="024D0FAC" w14:textId="696B793B" w:rsidR="00D521C6" w:rsidRPr="00573A25" w:rsidRDefault="00D521C6" w:rsidP="004551BD">
      <w:pPr>
        <w:spacing w:after="0" w:line="360" w:lineRule="auto"/>
        <w:ind w:firstLine="708"/>
        <w:jc w:val="both"/>
      </w:pPr>
      <w:r w:rsidRPr="00573A25">
        <w:rPr>
          <w:rFonts w:ascii="Times New Roman" w:hAnsi="Times New Roman" w:cs="Times New Roman"/>
          <w:sz w:val="24"/>
          <w:szCs w:val="24"/>
        </w:rPr>
        <w:t>Dependendo da pressão diferencial</w:t>
      </w:r>
      <w:r w:rsidR="00573A25">
        <w:rPr>
          <w:rFonts w:ascii="Times New Roman" w:hAnsi="Times New Roman" w:cs="Times New Roman"/>
          <w:sz w:val="24"/>
          <w:szCs w:val="24"/>
        </w:rPr>
        <w:t xml:space="preserve"> utilizada no processo de homogeneização</w:t>
      </w:r>
      <w:r w:rsidRPr="00573A25">
        <w:rPr>
          <w:rFonts w:ascii="Times New Roman" w:hAnsi="Times New Roman" w:cs="Times New Roman"/>
          <w:sz w:val="24"/>
          <w:szCs w:val="24"/>
        </w:rPr>
        <w:t>, o fluido apresenta grande cisalhamento, cavitação e turbulência</w:t>
      </w:r>
      <w:r w:rsidRPr="00F3311E">
        <w:rPr>
          <w:rFonts w:ascii="Times New Roman" w:hAnsi="Times New Roman" w:cs="Times New Roman"/>
          <w:sz w:val="24"/>
          <w:szCs w:val="24"/>
        </w:rPr>
        <w:t>, e esses efeitos mecânicos são utilizados para mistura, dispersão, redução do tamanho de partículas e emulsificação. A adsorção</w:t>
      </w:r>
      <w:r>
        <w:rPr>
          <w:rFonts w:ascii="Times New Roman" w:hAnsi="Times New Roman" w:cs="Times New Roman"/>
          <w:sz w:val="24"/>
          <w:szCs w:val="24"/>
        </w:rPr>
        <w:t xml:space="preserve"> de proteínas</w:t>
      </w:r>
      <w:r w:rsidRPr="00F3311E">
        <w:rPr>
          <w:rFonts w:ascii="Times New Roman" w:hAnsi="Times New Roman" w:cs="Times New Roman"/>
          <w:sz w:val="24"/>
          <w:szCs w:val="24"/>
        </w:rPr>
        <w:t xml:space="preserve"> e a coalescência ocorrem em escalas de tempo curtas e a faixa final de tamanho de gotas da dispersão coloidal e sua estabilidade é governada pela </w:t>
      </w:r>
      <w:r w:rsidRPr="003143A1">
        <w:rPr>
          <w:rFonts w:ascii="Times New Roman" w:hAnsi="Times New Roman" w:cs="Times New Roman"/>
          <w:sz w:val="24"/>
          <w:szCs w:val="24"/>
        </w:rPr>
        <w:t>entrada de energia mecânica, tipo e concentração do estabilizador e proporção de emulsificante para estabilizador (</w:t>
      </w:r>
      <w:hyperlink r:id="rId27" w:anchor="bib22" w:history="1">
        <w:r w:rsidRPr="003143A1">
          <w:rPr>
            <w:rFonts w:ascii="Times New Roman" w:hAnsi="Times New Roman" w:cs="Times New Roman"/>
            <w:sz w:val="24"/>
            <w:szCs w:val="24"/>
          </w:rPr>
          <w:t>LEE et al., 2013</w:t>
        </w:r>
      </w:hyperlink>
      <w:r>
        <w:rPr>
          <w:rFonts w:ascii="Times New Roman" w:hAnsi="Times New Roman" w:cs="Times New Roman"/>
          <w:sz w:val="24"/>
          <w:szCs w:val="24"/>
        </w:rPr>
        <w:t>).</w:t>
      </w:r>
    </w:p>
    <w:p w14:paraId="1B6451D1" w14:textId="12EC4F74" w:rsidR="00C51637" w:rsidRDefault="00D521C6" w:rsidP="004551BD">
      <w:pPr>
        <w:spacing w:after="0" w:line="360" w:lineRule="auto"/>
        <w:ind w:firstLine="708"/>
        <w:jc w:val="both"/>
        <w:rPr>
          <w:rFonts w:ascii="Times New Roman" w:hAnsi="Times New Roman" w:cs="Times New Roman"/>
          <w:sz w:val="24"/>
          <w:szCs w:val="24"/>
        </w:rPr>
      </w:pPr>
      <w:r w:rsidRPr="00F3311E">
        <w:rPr>
          <w:rFonts w:ascii="Times New Roman" w:hAnsi="Times New Roman" w:cs="Times New Roman"/>
          <w:sz w:val="24"/>
          <w:szCs w:val="24"/>
        </w:rPr>
        <w:t>Estudos si</w:t>
      </w:r>
      <w:r>
        <w:rPr>
          <w:rFonts w:ascii="Times New Roman" w:hAnsi="Times New Roman" w:cs="Times New Roman"/>
          <w:sz w:val="24"/>
          <w:szCs w:val="24"/>
        </w:rPr>
        <w:t>stemáticos sobre o papel da alt</w:t>
      </w:r>
      <w:r w:rsidRPr="00F3311E">
        <w:rPr>
          <w:rFonts w:ascii="Times New Roman" w:hAnsi="Times New Roman" w:cs="Times New Roman"/>
          <w:sz w:val="24"/>
          <w:szCs w:val="24"/>
        </w:rPr>
        <w:t>a pressão durante a emulsificação da gordura são escassos, podendo ser uma nova linha de pesquisa a ser estudada.</w:t>
      </w:r>
    </w:p>
    <w:p w14:paraId="0CA6A3BD" w14:textId="6FE43784" w:rsidR="00544A5B" w:rsidRDefault="00544A5B" w:rsidP="003C6E36">
      <w:pPr>
        <w:spacing w:after="0" w:line="360" w:lineRule="auto"/>
        <w:jc w:val="both"/>
        <w:rPr>
          <w:rFonts w:ascii="Times New Roman" w:hAnsi="Times New Roman" w:cs="Times New Roman"/>
          <w:sz w:val="24"/>
          <w:szCs w:val="24"/>
        </w:rPr>
      </w:pPr>
    </w:p>
    <w:p w14:paraId="2132A317" w14:textId="77777777" w:rsidR="00544A5B" w:rsidRDefault="00544A5B" w:rsidP="003C6E36">
      <w:pPr>
        <w:spacing w:after="0" w:line="360" w:lineRule="auto"/>
        <w:jc w:val="both"/>
        <w:rPr>
          <w:rFonts w:ascii="Times New Roman" w:hAnsi="Times New Roman" w:cs="Times New Roman"/>
          <w:sz w:val="24"/>
          <w:szCs w:val="24"/>
        </w:rPr>
      </w:pPr>
    </w:p>
    <w:p w14:paraId="6909A1CE" w14:textId="00052E22" w:rsidR="00C51637" w:rsidRPr="004551BD" w:rsidRDefault="00697CC1" w:rsidP="003C6E36">
      <w:pPr>
        <w:pStyle w:val="PargrafodaLista"/>
        <w:numPr>
          <w:ilvl w:val="0"/>
          <w:numId w:val="2"/>
        </w:numPr>
        <w:spacing w:after="0" w:line="360" w:lineRule="auto"/>
        <w:ind w:left="0" w:firstLine="0"/>
        <w:jc w:val="both"/>
        <w:rPr>
          <w:rFonts w:ascii="Times New Roman" w:hAnsi="Times New Roman" w:cs="Times New Roman"/>
          <w:b/>
          <w:sz w:val="24"/>
          <w:szCs w:val="24"/>
        </w:rPr>
      </w:pPr>
      <w:r w:rsidRPr="00224827">
        <w:rPr>
          <w:rFonts w:ascii="Times New Roman" w:hAnsi="Times New Roman" w:cs="Times New Roman"/>
          <w:b/>
          <w:sz w:val="24"/>
          <w:szCs w:val="24"/>
        </w:rPr>
        <w:t>C</w:t>
      </w:r>
      <w:r w:rsidR="0040273D" w:rsidRPr="00224827">
        <w:rPr>
          <w:rFonts w:ascii="Times New Roman" w:hAnsi="Times New Roman" w:cs="Times New Roman"/>
          <w:b/>
          <w:sz w:val="24"/>
          <w:szCs w:val="24"/>
        </w:rPr>
        <w:t>ONSIDERAÇÕES FINAIS</w:t>
      </w:r>
    </w:p>
    <w:p w14:paraId="2FBF6BC0" w14:textId="1234E13B" w:rsidR="00C51637" w:rsidRPr="00C15FEE" w:rsidRDefault="002B219F" w:rsidP="004551BD">
      <w:pPr>
        <w:spacing w:after="0" w:line="360" w:lineRule="auto"/>
        <w:ind w:firstLine="708"/>
        <w:jc w:val="both"/>
        <w:rPr>
          <w:rFonts w:ascii="Times New Roman" w:hAnsi="Times New Roman" w:cs="Times New Roman"/>
          <w:b/>
          <w:sz w:val="24"/>
          <w:szCs w:val="24"/>
        </w:rPr>
      </w:pPr>
      <w:r w:rsidRPr="00C15FEE">
        <w:rPr>
          <w:rFonts w:ascii="Times New Roman" w:hAnsi="Times New Roman" w:cs="Times New Roman"/>
          <w:sz w:val="24"/>
          <w:szCs w:val="24"/>
        </w:rPr>
        <w:t xml:space="preserve">O leite em pó e produtos lácteos em pó apresentam maior vida de prateleira, viabilizando ganhos econômicos no armazenamento e transporte. Enquanto que o leite “in natura” é altamente perecível e volumoso, exigindo embalagem, estocagem e transporte especiais. </w:t>
      </w:r>
      <w:r w:rsidR="000B1E40" w:rsidRPr="00C15FEE">
        <w:rPr>
          <w:rFonts w:ascii="Times New Roman" w:hAnsi="Times New Roman" w:cs="Times New Roman"/>
          <w:sz w:val="24"/>
          <w:szCs w:val="24"/>
        </w:rPr>
        <w:t xml:space="preserve">Entretanto </w:t>
      </w:r>
      <w:r w:rsidR="00573A25">
        <w:rPr>
          <w:rFonts w:ascii="Times New Roman" w:hAnsi="Times New Roman" w:cs="Times New Roman"/>
          <w:sz w:val="24"/>
          <w:szCs w:val="24"/>
        </w:rPr>
        <w:t>a</w:t>
      </w:r>
      <w:r w:rsidR="00C51637" w:rsidRPr="00C15FEE">
        <w:rPr>
          <w:rFonts w:ascii="Times New Roman" w:hAnsi="Times New Roman" w:cs="Times New Roman"/>
          <w:sz w:val="24"/>
          <w:szCs w:val="24"/>
        </w:rPr>
        <w:t xml:space="preserve"> ocorrência de gordura na superfície de pós lácteos</w:t>
      </w:r>
      <w:r w:rsidR="0049794F" w:rsidRPr="00C15FEE">
        <w:rPr>
          <w:rFonts w:ascii="Times New Roman" w:hAnsi="Times New Roman" w:cs="Times New Roman"/>
          <w:sz w:val="24"/>
          <w:szCs w:val="24"/>
        </w:rPr>
        <w:t>, tanto gordura livre como gordura encapsulado,</w:t>
      </w:r>
      <w:r w:rsidR="00C51637" w:rsidRPr="00C15FEE">
        <w:rPr>
          <w:rFonts w:ascii="Times New Roman" w:hAnsi="Times New Roman" w:cs="Times New Roman"/>
          <w:sz w:val="24"/>
          <w:szCs w:val="24"/>
        </w:rPr>
        <w:t xml:space="preserve"> tem sido vastamente documentada, juntamente a isso problemas tecnológicos também estão at</w:t>
      </w:r>
      <w:r w:rsidR="00C15FEE" w:rsidRPr="00C15FEE">
        <w:rPr>
          <w:rFonts w:ascii="Times New Roman" w:hAnsi="Times New Roman" w:cs="Times New Roman"/>
          <w:sz w:val="24"/>
          <w:szCs w:val="24"/>
        </w:rPr>
        <w:t>relados a essa</w:t>
      </w:r>
      <w:r w:rsidR="0057125D">
        <w:rPr>
          <w:rFonts w:ascii="Times New Roman" w:hAnsi="Times New Roman" w:cs="Times New Roman"/>
          <w:sz w:val="24"/>
          <w:szCs w:val="24"/>
        </w:rPr>
        <w:t>s</w:t>
      </w:r>
      <w:r w:rsidR="00C15FEE" w:rsidRPr="00C15FEE">
        <w:rPr>
          <w:rFonts w:ascii="Times New Roman" w:hAnsi="Times New Roman" w:cs="Times New Roman"/>
          <w:sz w:val="24"/>
          <w:szCs w:val="24"/>
        </w:rPr>
        <w:t xml:space="preserve"> características </w:t>
      </w:r>
      <w:r w:rsidR="00C51637" w:rsidRPr="00C15FEE">
        <w:rPr>
          <w:rFonts w:ascii="Times New Roman" w:hAnsi="Times New Roman" w:cs="Times New Roman"/>
          <w:sz w:val="24"/>
          <w:szCs w:val="24"/>
        </w:rPr>
        <w:t>como maior taxa de oxidação, maior viscosidade, dificuldades de reidratação e outros</w:t>
      </w:r>
      <w:r w:rsidR="00C15FEE" w:rsidRPr="00C15FEE">
        <w:rPr>
          <w:rFonts w:ascii="Times New Roman" w:hAnsi="Times New Roman" w:cs="Times New Roman"/>
          <w:sz w:val="24"/>
          <w:szCs w:val="24"/>
        </w:rPr>
        <w:t xml:space="preserve">. Leites em pós integrais podem apresentar mais de 80% de gordura em sua composição superficial e para leites em pós ou lácteos em pós com teor reduzido de gordura, ainda assim se observa predominância desse componente na superfície, diferindo bastante da composição em </w:t>
      </w:r>
      <w:r w:rsidR="00573A25" w:rsidRPr="00C15FEE">
        <w:rPr>
          <w:rFonts w:ascii="Times New Roman" w:hAnsi="Times New Roman" w:cs="Times New Roman"/>
          <w:sz w:val="24"/>
          <w:szCs w:val="24"/>
        </w:rPr>
        <w:t>massa</w:t>
      </w:r>
      <w:r w:rsidR="00C51637" w:rsidRPr="00C15FEE">
        <w:rPr>
          <w:rFonts w:ascii="Times New Roman" w:hAnsi="Times New Roman" w:cs="Times New Roman"/>
          <w:sz w:val="24"/>
          <w:szCs w:val="24"/>
        </w:rPr>
        <w:t xml:space="preserve">. As etapas mais críticas para esse acúmulo de gordura são as etapas de atomização e secagem. Muitas </w:t>
      </w:r>
      <w:r w:rsidR="0057125D" w:rsidRPr="00C15FEE">
        <w:rPr>
          <w:rFonts w:ascii="Times New Roman" w:hAnsi="Times New Roman" w:cs="Times New Roman"/>
          <w:sz w:val="24"/>
          <w:szCs w:val="24"/>
        </w:rPr>
        <w:t>indústrias</w:t>
      </w:r>
      <w:r w:rsidR="00C51637" w:rsidRPr="00C15FEE">
        <w:rPr>
          <w:rFonts w:ascii="Times New Roman" w:hAnsi="Times New Roman" w:cs="Times New Roman"/>
          <w:sz w:val="24"/>
          <w:szCs w:val="24"/>
        </w:rPr>
        <w:t xml:space="preserve"> já usam as etapas de aglomeração e lecitinação para reduzir os efeitos indesejáveis da gordura superficial. Outras propostas para menor ocorrência de gordura livre na superfície estão atreladas a melhor estabilização da emulsão antes do processo de secagem por atomização. Como no Brasil adição de componentes no leite em pó não é permitido, salvo os especificados em regulamento, uma das ideias promissoras é tentar estabilizar a emulsão com a utilizaçã</w:t>
      </w:r>
      <w:r w:rsidR="00C15FEE" w:rsidRPr="00C15FEE">
        <w:rPr>
          <w:rFonts w:ascii="Times New Roman" w:hAnsi="Times New Roman" w:cs="Times New Roman"/>
          <w:sz w:val="24"/>
          <w:szCs w:val="24"/>
        </w:rPr>
        <w:t xml:space="preserve">o da ultra-alta </w:t>
      </w:r>
      <w:r w:rsidR="00C15FEE" w:rsidRPr="00C15FEE">
        <w:rPr>
          <w:rFonts w:ascii="Times New Roman" w:hAnsi="Times New Roman" w:cs="Times New Roman"/>
          <w:sz w:val="24"/>
          <w:szCs w:val="24"/>
        </w:rPr>
        <w:lastRenderedPageBreak/>
        <w:t>homogeneização.</w:t>
      </w:r>
      <w:r w:rsidR="00C51637" w:rsidRPr="00C15FEE">
        <w:rPr>
          <w:rFonts w:ascii="Times New Roman" w:hAnsi="Times New Roman" w:cs="Times New Roman"/>
          <w:sz w:val="24"/>
          <w:szCs w:val="24"/>
        </w:rPr>
        <w:t xml:space="preserve"> Estudos sistemáticos sobre o papel da alta pressão durante a emulsificação da gordura são escassos, podendo ser uma nova linha de pesquisa a ser estudada.</w:t>
      </w:r>
    </w:p>
    <w:p w14:paraId="6D56C48E" w14:textId="10B84B20" w:rsidR="00224827" w:rsidRDefault="00224827" w:rsidP="003C6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3DA44DD" w14:textId="77777777" w:rsidR="00224827" w:rsidRDefault="00224827" w:rsidP="003C6E36">
      <w:pPr>
        <w:spacing w:after="0" w:line="360" w:lineRule="auto"/>
        <w:jc w:val="both"/>
        <w:rPr>
          <w:rFonts w:ascii="Times New Roman" w:hAnsi="Times New Roman" w:cs="Times New Roman"/>
          <w:sz w:val="24"/>
          <w:szCs w:val="24"/>
        </w:rPr>
      </w:pPr>
    </w:p>
    <w:p w14:paraId="44155AEA" w14:textId="1E998D97" w:rsidR="0005671A" w:rsidRPr="00224827" w:rsidRDefault="0005671A" w:rsidP="003C6E36">
      <w:pPr>
        <w:pStyle w:val="PargrafodaLista"/>
        <w:numPr>
          <w:ilvl w:val="0"/>
          <w:numId w:val="2"/>
        </w:numPr>
        <w:spacing w:after="0" w:line="360" w:lineRule="auto"/>
        <w:ind w:left="0" w:firstLine="0"/>
        <w:jc w:val="both"/>
        <w:rPr>
          <w:rFonts w:ascii="Times New Roman" w:hAnsi="Times New Roman" w:cs="Times New Roman"/>
          <w:b/>
          <w:sz w:val="24"/>
          <w:szCs w:val="24"/>
        </w:rPr>
      </w:pPr>
      <w:r w:rsidRPr="00224827">
        <w:rPr>
          <w:rFonts w:ascii="Times New Roman" w:hAnsi="Times New Roman" w:cs="Times New Roman"/>
          <w:b/>
          <w:sz w:val="24"/>
          <w:szCs w:val="24"/>
        </w:rPr>
        <w:t>AGRADECIMENTOS</w:t>
      </w:r>
    </w:p>
    <w:p w14:paraId="024DA28C" w14:textId="6E112B6F" w:rsidR="00FF168F" w:rsidRPr="00B52B9E" w:rsidRDefault="00B52B9E" w:rsidP="00B52B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autores agradecem ao CNPq pelas bolsas de produtividade e pelos investimento</w:t>
      </w:r>
      <w:r w:rsidR="005A46C3">
        <w:rPr>
          <w:rFonts w:ascii="Times New Roman" w:hAnsi="Times New Roman" w:cs="Times New Roman"/>
          <w:sz w:val="24"/>
          <w:szCs w:val="24"/>
        </w:rPr>
        <w:t>s</w:t>
      </w:r>
      <w:r>
        <w:rPr>
          <w:rFonts w:ascii="Times New Roman" w:hAnsi="Times New Roman" w:cs="Times New Roman"/>
          <w:sz w:val="24"/>
          <w:szCs w:val="24"/>
        </w:rPr>
        <w:t xml:space="preserve"> em pesquisas. </w:t>
      </w:r>
    </w:p>
    <w:p w14:paraId="715F57F1" w14:textId="77777777" w:rsidR="0005671A" w:rsidRPr="0005671A" w:rsidRDefault="0005671A" w:rsidP="003C6E36">
      <w:pPr>
        <w:spacing w:after="0" w:line="360" w:lineRule="auto"/>
        <w:jc w:val="both"/>
        <w:rPr>
          <w:rFonts w:ascii="Times New Roman" w:hAnsi="Times New Roman" w:cs="Times New Roman"/>
          <w:sz w:val="24"/>
          <w:szCs w:val="24"/>
        </w:rPr>
      </w:pPr>
    </w:p>
    <w:p w14:paraId="71BDBA40" w14:textId="51084F4F" w:rsidR="00047950" w:rsidRPr="00224827" w:rsidRDefault="00ED093A" w:rsidP="003C6E36">
      <w:pPr>
        <w:pStyle w:val="PargrafodaLista"/>
        <w:numPr>
          <w:ilvl w:val="0"/>
          <w:numId w:val="2"/>
        </w:numPr>
        <w:spacing w:after="0" w:line="360" w:lineRule="auto"/>
        <w:ind w:left="0" w:firstLine="0"/>
        <w:jc w:val="both"/>
        <w:rPr>
          <w:rFonts w:ascii="Times New Roman" w:hAnsi="Times New Roman" w:cs="Times New Roman"/>
          <w:b/>
          <w:sz w:val="24"/>
          <w:szCs w:val="24"/>
        </w:rPr>
      </w:pPr>
      <w:r w:rsidRPr="00224827">
        <w:rPr>
          <w:rFonts w:ascii="Times New Roman" w:hAnsi="Times New Roman" w:cs="Times New Roman"/>
          <w:b/>
          <w:sz w:val="24"/>
          <w:szCs w:val="24"/>
        </w:rPr>
        <w:t xml:space="preserve">REFERÊNCIAS </w:t>
      </w:r>
    </w:p>
    <w:p w14:paraId="629DAB7B" w14:textId="77777777" w:rsidR="00706C78" w:rsidRDefault="00706C78" w:rsidP="003C6E36">
      <w:pPr>
        <w:spacing w:after="0" w:line="360" w:lineRule="auto"/>
        <w:jc w:val="both"/>
        <w:rPr>
          <w:rFonts w:ascii="Times New Roman" w:hAnsi="Times New Roman" w:cs="Times New Roman"/>
          <w:sz w:val="24"/>
          <w:szCs w:val="24"/>
          <w:lang w:val="en-US"/>
        </w:rPr>
      </w:pPr>
      <w:bookmarkStart w:id="13" w:name="_GoBack"/>
      <w:bookmarkEnd w:id="13"/>
    </w:p>
    <w:p w14:paraId="257A6599"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ADHIKARI, B. et al. Effect of addition of proteins on the production of amorphous sucrose powder through spray drying. </w:t>
      </w:r>
      <w:r w:rsidRPr="00DF1FC6">
        <w:rPr>
          <w:rFonts w:ascii="Times New Roman" w:hAnsi="Times New Roman" w:cs="Times New Roman"/>
          <w:b/>
          <w:sz w:val="24"/>
          <w:szCs w:val="24"/>
          <w:lang w:val="en-US"/>
        </w:rPr>
        <w:t>Journal of Food Engineering</w:t>
      </w:r>
      <w:r w:rsidRPr="00DF1FC6">
        <w:rPr>
          <w:rFonts w:ascii="Times New Roman" w:hAnsi="Times New Roman" w:cs="Times New Roman"/>
          <w:sz w:val="24"/>
          <w:szCs w:val="24"/>
          <w:lang w:val="en-US"/>
        </w:rPr>
        <w:t xml:space="preserve">, v. 94, n. 2, p. 144–153, 2009. </w:t>
      </w:r>
    </w:p>
    <w:p w14:paraId="639871D3" w14:textId="77777777" w:rsidR="00706C78" w:rsidRPr="00DF1FC6" w:rsidRDefault="00706C78" w:rsidP="00706C78">
      <w:pPr>
        <w:spacing w:after="0" w:line="360" w:lineRule="auto"/>
        <w:jc w:val="both"/>
        <w:rPr>
          <w:rFonts w:ascii="Times New Roman" w:hAnsi="Times New Roman" w:cs="Times New Roman"/>
          <w:sz w:val="24"/>
          <w:szCs w:val="24"/>
        </w:rPr>
      </w:pPr>
      <w:r w:rsidRPr="00DF1FC6">
        <w:rPr>
          <w:rFonts w:ascii="Times New Roman" w:hAnsi="Times New Roman" w:cs="Times New Roman"/>
          <w:sz w:val="24"/>
          <w:szCs w:val="24"/>
          <w:lang w:val="en-US"/>
        </w:rPr>
        <w:t xml:space="preserve">BARKOUTI, A. et al. Milk powder agglomerate growth and properties in fluidized bed agglomeration. </w:t>
      </w:r>
      <w:r w:rsidRPr="00DF1FC6">
        <w:rPr>
          <w:rFonts w:ascii="Times New Roman" w:hAnsi="Times New Roman" w:cs="Times New Roman"/>
          <w:b/>
          <w:sz w:val="24"/>
          <w:szCs w:val="24"/>
        </w:rPr>
        <w:t>Dairy Science and Technology</w:t>
      </w:r>
      <w:r w:rsidRPr="00DF1FC6">
        <w:rPr>
          <w:rFonts w:ascii="Times New Roman" w:hAnsi="Times New Roman" w:cs="Times New Roman"/>
          <w:sz w:val="24"/>
          <w:szCs w:val="24"/>
        </w:rPr>
        <w:t>, v. 93, n. 4–5, p. 523–535, 2013.</w:t>
      </w:r>
    </w:p>
    <w:p w14:paraId="6A53A449"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rPr>
        <w:t xml:space="preserve">BRASIL. Ministério da Agricultura, Pecuária e Abastecimento Instrução Normativa 53, de 01 de outubro de 2018: </w:t>
      </w:r>
      <w:r w:rsidRPr="00DF1FC6">
        <w:rPr>
          <w:rFonts w:ascii="Times New Roman" w:hAnsi="Times New Roman" w:cs="Times New Roman"/>
          <w:b/>
          <w:sz w:val="24"/>
          <w:szCs w:val="24"/>
        </w:rPr>
        <w:t xml:space="preserve">Regulamento Técnico de Identidade e Qualidade do Leite em Pó. </w:t>
      </w:r>
      <w:r w:rsidRPr="00DF1FC6">
        <w:rPr>
          <w:rFonts w:ascii="Times New Roman" w:hAnsi="Times New Roman" w:cs="Times New Roman"/>
          <w:sz w:val="24"/>
          <w:szCs w:val="24"/>
          <w:lang w:val="en-US"/>
        </w:rPr>
        <w:t>Brasília, 2018</w:t>
      </w:r>
    </w:p>
    <w:p w14:paraId="25D26F4B"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BUCHHEIM, W. </w:t>
      </w:r>
      <w:r w:rsidRPr="00DF1FC6">
        <w:rPr>
          <w:rStyle w:val="Forte"/>
          <w:rFonts w:ascii="Times New Roman" w:hAnsi="Times New Roman" w:cs="Times New Roman"/>
          <w:b w:val="0"/>
          <w:sz w:val="24"/>
          <w:szCs w:val="24"/>
          <w:lang w:val="en-US"/>
        </w:rPr>
        <w:t>Electron microscopic localization of solvent-extractable fat in agglomerated spray-dried whole milk powder particles.</w:t>
      </w:r>
      <w:r w:rsidRPr="00DF1FC6">
        <w:rPr>
          <w:rFonts w:ascii="Times New Roman" w:hAnsi="Times New Roman" w:cs="Times New Roman"/>
          <w:sz w:val="24"/>
          <w:szCs w:val="24"/>
          <w:lang w:val="en-US"/>
        </w:rPr>
        <w:t xml:space="preserve"> </w:t>
      </w:r>
      <w:r w:rsidRPr="00DF1FC6">
        <w:rPr>
          <w:rFonts w:ascii="Times New Roman" w:hAnsi="Times New Roman" w:cs="Times New Roman"/>
          <w:b/>
          <w:sz w:val="24"/>
          <w:szCs w:val="24"/>
          <w:lang w:val="en-US"/>
        </w:rPr>
        <w:t>Food Struct.,</w:t>
      </w:r>
      <w:r w:rsidRPr="00DF1FC6">
        <w:rPr>
          <w:rFonts w:ascii="Times New Roman" w:hAnsi="Times New Roman" w:cs="Times New Roman"/>
          <w:sz w:val="24"/>
          <w:szCs w:val="24"/>
          <w:lang w:val="en-US"/>
        </w:rPr>
        <w:t> v.1, p. 12, 1982.</w:t>
      </w:r>
    </w:p>
    <w:p w14:paraId="150463DE"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FENNEMA, O.R.; DAMODARAN, S.; PARKIN, K.L. Introduction to food chemistry. In: Fennema's Food Chemistry. </w:t>
      </w:r>
      <w:r w:rsidRPr="00DF1FC6">
        <w:rPr>
          <w:rFonts w:ascii="Times New Roman" w:hAnsi="Times New Roman" w:cs="Times New Roman"/>
          <w:b/>
          <w:sz w:val="24"/>
          <w:szCs w:val="24"/>
          <w:lang w:val="en-US"/>
        </w:rPr>
        <w:t>CRC Press</w:t>
      </w:r>
      <w:r w:rsidRPr="00DF1FC6">
        <w:rPr>
          <w:rFonts w:ascii="Times New Roman" w:hAnsi="Times New Roman" w:cs="Times New Roman"/>
          <w:sz w:val="24"/>
          <w:szCs w:val="24"/>
          <w:lang w:val="en-US"/>
        </w:rPr>
        <w:t>,. p. 1107, 2017.</w:t>
      </w:r>
    </w:p>
    <w:p w14:paraId="64780A65"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FYFE, K. et al. Influence of dryer type on surface characteristics of milk powders. </w:t>
      </w:r>
      <w:r w:rsidRPr="00DF1FC6">
        <w:rPr>
          <w:rFonts w:ascii="Times New Roman" w:hAnsi="Times New Roman" w:cs="Times New Roman"/>
          <w:b/>
          <w:sz w:val="24"/>
          <w:szCs w:val="24"/>
          <w:lang w:val="en-US"/>
        </w:rPr>
        <w:t>Drying Technology</w:t>
      </w:r>
      <w:r w:rsidRPr="00DF1FC6">
        <w:rPr>
          <w:rFonts w:ascii="Times New Roman" w:hAnsi="Times New Roman" w:cs="Times New Roman"/>
          <w:sz w:val="24"/>
          <w:szCs w:val="24"/>
          <w:lang w:val="en-US"/>
        </w:rPr>
        <w:t>, v. 29, n. 7, p. 758–769, 2011.</w:t>
      </w:r>
    </w:p>
    <w:p w14:paraId="6C33C138"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FOERSTER, M. et al. The impact of atomization on the surface composition of spray-dried milk droplets. </w:t>
      </w:r>
      <w:r w:rsidRPr="00DF1FC6">
        <w:rPr>
          <w:rFonts w:ascii="Times New Roman" w:hAnsi="Times New Roman" w:cs="Times New Roman"/>
          <w:b/>
          <w:sz w:val="24"/>
          <w:szCs w:val="24"/>
          <w:lang w:val="en-US"/>
        </w:rPr>
        <w:t>Colloids and Surfaces B: Biointerfaces</w:t>
      </w:r>
      <w:r w:rsidRPr="00DF1FC6">
        <w:rPr>
          <w:rFonts w:ascii="Times New Roman" w:hAnsi="Times New Roman" w:cs="Times New Roman"/>
          <w:sz w:val="24"/>
          <w:szCs w:val="24"/>
          <w:lang w:val="en-US"/>
        </w:rPr>
        <w:t xml:space="preserve">, v. 140, p. 460–471, 2016a. </w:t>
      </w:r>
    </w:p>
    <w:p w14:paraId="18887D34"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FOERSTER, M. et al. The influence of the chemical surface composition on the drying process of milk droplets. </w:t>
      </w:r>
      <w:r w:rsidRPr="00DF1FC6">
        <w:rPr>
          <w:rFonts w:ascii="Times New Roman" w:hAnsi="Times New Roman" w:cs="Times New Roman"/>
          <w:b/>
          <w:sz w:val="24"/>
          <w:szCs w:val="24"/>
          <w:lang w:val="en-US"/>
        </w:rPr>
        <w:t>Advanced Powder Technology</w:t>
      </w:r>
      <w:r w:rsidRPr="00DF1FC6">
        <w:rPr>
          <w:rFonts w:ascii="Times New Roman" w:hAnsi="Times New Roman" w:cs="Times New Roman"/>
          <w:sz w:val="24"/>
          <w:szCs w:val="24"/>
          <w:lang w:val="en-US"/>
        </w:rPr>
        <w:t>, v. 27, n. 6, p. 2324–2334, 2016b.</w:t>
      </w:r>
    </w:p>
    <w:p w14:paraId="4737F11B"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FOERSTER, M. et al. Reduction of surface fat formation on spray-dried milk powders through emulsion stabilization with </w:t>
      </w:r>
      <w:r w:rsidRPr="00DF1FC6">
        <w:rPr>
          <w:rFonts w:ascii="Times New Roman" w:hAnsi="Times New Roman" w:cs="Times New Roman"/>
          <w:sz w:val="24"/>
          <w:szCs w:val="24"/>
        </w:rPr>
        <w:t>λ</w:t>
      </w:r>
      <w:r w:rsidRPr="00DF1FC6">
        <w:rPr>
          <w:rFonts w:ascii="Times New Roman" w:hAnsi="Times New Roman" w:cs="Times New Roman"/>
          <w:sz w:val="24"/>
          <w:szCs w:val="24"/>
          <w:lang w:val="en-US"/>
        </w:rPr>
        <w:t xml:space="preserve">-carrageenan. </w:t>
      </w:r>
      <w:r w:rsidRPr="00DF1FC6">
        <w:rPr>
          <w:rFonts w:ascii="Times New Roman" w:hAnsi="Times New Roman" w:cs="Times New Roman"/>
          <w:b/>
          <w:sz w:val="24"/>
          <w:szCs w:val="24"/>
          <w:lang w:val="en-US"/>
        </w:rPr>
        <w:t>Food Hydrocolloids</w:t>
      </w:r>
      <w:r w:rsidRPr="00DF1FC6">
        <w:rPr>
          <w:rFonts w:ascii="Times New Roman" w:hAnsi="Times New Roman" w:cs="Times New Roman"/>
          <w:sz w:val="24"/>
          <w:szCs w:val="24"/>
          <w:lang w:val="en-US"/>
        </w:rPr>
        <w:t>, v. 70, p. 163–180, 2017.</w:t>
      </w:r>
    </w:p>
    <w:p w14:paraId="48298202"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FOERSTER, M.; WOO, M. W.; SELOMULYA, C. Component Segregation During Spray Drying of Milk Powder. [S.l.]: </w:t>
      </w:r>
      <w:r w:rsidRPr="00DF1FC6">
        <w:rPr>
          <w:rFonts w:ascii="Times New Roman" w:hAnsi="Times New Roman" w:cs="Times New Roman"/>
          <w:b/>
          <w:sz w:val="24"/>
          <w:szCs w:val="24"/>
          <w:lang w:val="en-US"/>
        </w:rPr>
        <w:t>Elsevier</w:t>
      </w:r>
      <w:r w:rsidRPr="00DF1FC6">
        <w:rPr>
          <w:rFonts w:ascii="Times New Roman" w:hAnsi="Times New Roman" w:cs="Times New Roman"/>
          <w:sz w:val="24"/>
          <w:szCs w:val="24"/>
          <w:lang w:val="en-US"/>
        </w:rPr>
        <w:t>, 2017.</w:t>
      </w:r>
    </w:p>
    <w:p w14:paraId="7B6D6176"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lastRenderedPageBreak/>
        <w:t xml:space="preserve">FU, N.; WOO, M. W.; CHEN, X. D. Colloidal transport phenomena of milk components during convective droplet drying. </w:t>
      </w:r>
      <w:r w:rsidRPr="00DF1FC6">
        <w:rPr>
          <w:rFonts w:ascii="Times New Roman" w:hAnsi="Times New Roman" w:cs="Times New Roman"/>
          <w:b/>
          <w:sz w:val="24"/>
          <w:szCs w:val="24"/>
          <w:lang w:val="en-US"/>
        </w:rPr>
        <w:t>Colloids and Surfaces B: Biointerfaces</w:t>
      </w:r>
      <w:r w:rsidRPr="00DF1FC6">
        <w:rPr>
          <w:rFonts w:ascii="Times New Roman" w:hAnsi="Times New Roman" w:cs="Times New Roman"/>
          <w:sz w:val="24"/>
          <w:szCs w:val="24"/>
          <w:lang w:val="en-US"/>
        </w:rPr>
        <w:t xml:space="preserve">, v. 87, n. 2, p. 255–266, 2011. </w:t>
      </w:r>
    </w:p>
    <w:p w14:paraId="2E40EACC"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GAIANI, C. et al. How surface composition of high milk proteins powders is influenced by spray-drying temperature. </w:t>
      </w:r>
      <w:r w:rsidRPr="00DF1FC6">
        <w:rPr>
          <w:rFonts w:ascii="Times New Roman" w:hAnsi="Times New Roman" w:cs="Times New Roman"/>
          <w:b/>
          <w:sz w:val="24"/>
          <w:szCs w:val="24"/>
          <w:lang w:val="en-US"/>
        </w:rPr>
        <w:t>Colloids and Surfaces B: Biointerfaces</w:t>
      </w:r>
      <w:r w:rsidRPr="00DF1FC6">
        <w:rPr>
          <w:rFonts w:ascii="Times New Roman" w:hAnsi="Times New Roman" w:cs="Times New Roman"/>
          <w:sz w:val="24"/>
          <w:szCs w:val="24"/>
          <w:lang w:val="en-US"/>
        </w:rPr>
        <w:t>, v. 75, n. 1, p. 377–384, 2010.</w:t>
      </w:r>
    </w:p>
    <w:p w14:paraId="0B7C6290"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KELLY, G. M. et al. Influence of protein concentration on surface composition and physico-chemical properties of spray-dried milk protein concentrate powders. </w:t>
      </w:r>
      <w:r w:rsidRPr="00DF1FC6">
        <w:rPr>
          <w:rFonts w:ascii="Times New Roman" w:hAnsi="Times New Roman" w:cs="Times New Roman"/>
          <w:b/>
          <w:sz w:val="24"/>
          <w:szCs w:val="24"/>
          <w:lang w:val="en-US"/>
        </w:rPr>
        <w:t>International Dairy Journal</w:t>
      </w:r>
      <w:r w:rsidRPr="00DF1FC6">
        <w:rPr>
          <w:rFonts w:ascii="Times New Roman" w:hAnsi="Times New Roman" w:cs="Times New Roman"/>
          <w:sz w:val="24"/>
          <w:szCs w:val="24"/>
          <w:lang w:val="en-US"/>
        </w:rPr>
        <w:t xml:space="preserve">, v. 51, p. 34–40, 2015. </w:t>
      </w:r>
    </w:p>
    <w:p w14:paraId="3DDDE89B"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KIM, E. H. J.; CHEN, X. D.; PEARCE, D. Surface composition of industrial spray-dried milk powders. 2. Effects of spray drying conditions on the surface composition. </w:t>
      </w:r>
      <w:r w:rsidRPr="00DF1FC6">
        <w:rPr>
          <w:rFonts w:ascii="Times New Roman" w:hAnsi="Times New Roman" w:cs="Times New Roman"/>
          <w:b/>
          <w:sz w:val="24"/>
          <w:szCs w:val="24"/>
          <w:lang w:val="en-US"/>
        </w:rPr>
        <w:t>Journal of Food Engineering</w:t>
      </w:r>
      <w:r w:rsidRPr="00DF1FC6">
        <w:rPr>
          <w:rFonts w:ascii="Times New Roman" w:hAnsi="Times New Roman" w:cs="Times New Roman"/>
          <w:sz w:val="24"/>
          <w:szCs w:val="24"/>
          <w:lang w:val="en-US"/>
        </w:rPr>
        <w:t>, v. 94, n. 2, p. 169–181, 2009.</w:t>
      </w:r>
    </w:p>
    <w:p w14:paraId="0531684A"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KIM, E. H.; DONG, X.; PEARCE, D. Melting characteristics of fat present on the surface of industrial spray-dried dairy powders. </w:t>
      </w:r>
      <w:r w:rsidRPr="00DF1FC6">
        <w:rPr>
          <w:rFonts w:ascii="Times New Roman" w:hAnsi="Times New Roman" w:cs="Times New Roman"/>
          <w:b/>
          <w:sz w:val="24"/>
          <w:szCs w:val="24"/>
          <w:lang w:val="en-US"/>
        </w:rPr>
        <w:t>Colloids and Surfaces B: Biointerfaces</w:t>
      </w:r>
      <w:r w:rsidRPr="00DF1FC6">
        <w:rPr>
          <w:rFonts w:ascii="Times New Roman" w:hAnsi="Times New Roman" w:cs="Times New Roman"/>
          <w:sz w:val="24"/>
          <w:szCs w:val="24"/>
          <w:lang w:val="en-US"/>
        </w:rPr>
        <w:t xml:space="preserve"> v. 42, p. 1–8, 2005a.</w:t>
      </w:r>
    </w:p>
    <w:p w14:paraId="537A9A86"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KIM, E. H.-J.; CHEN, X. D.; PEARCE, D. Effect of surface composition on the flowability of industrial spray-dried dairy powders. </w:t>
      </w:r>
      <w:r w:rsidRPr="00DF1FC6">
        <w:rPr>
          <w:rFonts w:ascii="Times New Roman" w:hAnsi="Times New Roman" w:cs="Times New Roman"/>
          <w:b/>
          <w:sz w:val="24"/>
          <w:szCs w:val="24"/>
          <w:lang w:val="en-US"/>
        </w:rPr>
        <w:t>Colloids and Surfaces B: Biointerfaces</w:t>
      </w:r>
      <w:r w:rsidRPr="00DF1FC6">
        <w:rPr>
          <w:rFonts w:ascii="Times New Roman" w:hAnsi="Times New Roman" w:cs="Times New Roman"/>
          <w:sz w:val="24"/>
          <w:szCs w:val="24"/>
          <w:lang w:val="en-US"/>
        </w:rPr>
        <w:t>, v. 46, n. 3, p. 182–187. 2005b.</w:t>
      </w:r>
    </w:p>
    <w:p w14:paraId="2186F700"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LALLBEEHARRY, P. et al. Effects of ionic and nonionic surfactants on milk shell wettability during co-spray-drying of whole milk particles.</w:t>
      </w:r>
      <w:r w:rsidRPr="00DF1FC6">
        <w:rPr>
          <w:rFonts w:ascii="Times New Roman" w:hAnsi="Times New Roman" w:cs="Times New Roman"/>
          <w:b/>
          <w:sz w:val="24"/>
          <w:szCs w:val="24"/>
          <w:lang w:val="en-US"/>
        </w:rPr>
        <w:t xml:space="preserve"> Journal of Dairy Science</w:t>
      </w:r>
      <w:r w:rsidRPr="00DF1FC6">
        <w:rPr>
          <w:rFonts w:ascii="Times New Roman" w:hAnsi="Times New Roman" w:cs="Times New Roman"/>
          <w:sz w:val="24"/>
          <w:szCs w:val="24"/>
          <w:lang w:val="en-US"/>
        </w:rPr>
        <w:t>, v. 97, n. 9, p. 5303–5314, 2014.</w:t>
      </w:r>
    </w:p>
    <w:p w14:paraId="51BE7931"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LEE, L. L. et al. Emulsification: Mechanistic understanding. </w:t>
      </w:r>
      <w:r w:rsidRPr="00DF1FC6">
        <w:rPr>
          <w:rFonts w:ascii="Times New Roman" w:hAnsi="Times New Roman" w:cs="Times New Roman"/>
          <w:b/>
          <w:sz w:val="24"/>
          <w:szCs w:val="24"/>
          <w:lang w:val="en-US"/>
        </w:rPr>
        <w:t>Trends in Food Science and Technology</w:t>
      </w:r>
      <w:r w:rsidRPr="00DF1FC6">
        <w:rPr>
          <w:rFonts w:ascii="Times New Roman" w:hAnsi="Times New Roman" w:cs="Times New Roman"/>
          <w:sz w:val="24"/>
          <w:szCs w:val="24"/>
          <w:lang w:val="en-US"/>
        </w:rPr>
        <w:t>, v. 31, n. 1, p. 72–78, 2013.</w:t>
      </w:r>
    </w:p>
    <w:p w14:paraId="133C1D80"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LI, Y. H. et al. Comparative study on the characteristics and oxidation stability of commercial milk powder during storage. </w:t>
      </w:r>
      <w:r w:rsidRPr="00DF1FC6">
        <w:rPr>
          <w:rFonts w:ascii="Times New Roman" w:hAnsi="Times New Roman" w:cs="Times New Roman"/>
          <w:b/>
          <w:sz w:val="24"/>
          <w:szCs w:val="24"/>
          <w:lang w:val="en-US"/>
        </w:rPr>
        <w:t>Journal of dairy science</w:t>
      </w:r>
      <w:r w:rsidRPr="00DF1FC6">
        <w:rPr>
          <w:rFonts w:ascii="Times New Roman" w:hAnsi="Times New Roman" w:cs="Times New Roman"/>
          <w:sz w:val="24"/>
          <w:szCs w:val="24"/>
          <w:lang w:val="en-US"/>
        </w:rPr>
        <w:t>, v. 102, n. 10, p. 8785-8797, 2019.</w:t>
      </w:r>
    </w:p>
    <w:p w14:paraId="04448308" w14:textId="77777777" w:rsidR="00706C78" w:rsidRPr="00DF1FC6" w:rsidRDefault="00706C78" w:rsidP="00706C78">
      <w:pPr>
        <w:spacing w:after="0" w:line="360" w:lineRule="auto"/>
        <w:jc w:val="both"/>
        <w:rPr>
          <w:rFonts w:ascii="Times New Roman" w:hAnsi="Times New Roman" w:cs="Times New Roman"/>
          <w:color w:val="000000"/>
          <w:sz w:val="24"/>
          <w:szCs w:val="24"/>
          <w:shd w:val="clear" w:color="auto" w:fill="FFFFFF"/>
          <w:lang w:val="en-US"/>
        </w:rPr>
      </w:pPr>
      <w:r w:rsidRPr="00DF1FC6">
        <w:rPr>
          <w:rFonts w:ascii="Times New Roman" w:hAnsi="Times New Roman" w:cs="Times New Roman"/>
          <w:color w:val="000000"/>
          <w:sz w:val="24"/>
          <w:szCs w:val="24"/>
          <w:shd w:val="clear" w:color="auto" w:fill="FFFFFF"/>
        </w:rPr>
        <w:t xml:space="preserve">MEDEIROS, U. K. L. DE. </w:t>
      </w:r>
      <w:r w:rsidRPr="00DF1FC6">
        <w:rPr>
          <w:rFonts w:ascii="Times New Roman" w:hAnsi="Times New Roman" w:cs="Times New Roman"/>
          <w:b/>
          <w:color w:val="000000"/>
          <w:sz w:val="24"/>
          <w:szCs w:val="24"/>
          <w:shd w:val="clear" w:color="auto" w:fill="FFFFFF"/>
        </w:rPr>
        <w:t>Viabilidade técnica de uma rota não convencional para a produção de leite de cabra em pó em cooperativas do Rio Grande do Norte</w:t>
      </w:r>
      <w:r w:rsidRPr="00DF1FC6">
        <w:rPr>
          <w:rFonts w:ascii="Times New Roman" w:hAnsi="Times New Roman" w:cs="Times New Roman"/>
          <w:color w:val="000000"/>
          <w:sz w:val="24"/>
          <w:szCs w:val="24"/>
          <w:shd w:val="clear" w:color="auto" w:fill="FFFFFF"/>
        </w:rPr>
        <w:t xml:space="preserve">. Programa de Pós Graduação em Engenharia Química (Tese de Doutorado) Universidade Federal do Rio Grande do Norte, p. 166. </w:t>
      </w:r>
      <w:r w:rsidRPr="00DF1FC6">
        <w:rPr>
          <w:rFonts w:ascii="Times New Roman" w:hAnsi="Times New Roman" w:cs="Times New Roman"/>
          <w:color w:val="000000"/>
          <w:sz w:val="24"/>
          <w:szCs w:val="24"/>
          <w:shd w:val="clear" w:color="auto" w:fill="FFFFFF"/>
          <w:lang w:val="en-US"/>
        </w:rPr>
        <w:t>2010.</w:t>
      </w:r>
    </w:p>
    <w:p w14:paraId="536380FA" w14:textId="77777777" w:rsidR="00706C78" w:rsidRPr="00DF1FC6" w:rsidRDefault="00706C78" w:rsidP="00706C78">
      <w:pPr>
        <w:spacing w:after="0" w:line="360" w:lineRule="auto"/>
        <w:jc w:val="both"/>
        <w:rPr>
          <w:rFonts w:ascii="Times New Roman" w:hAnsi="Times New Roman" w:cs="Times New Roman"/>
          <w:color w:val="000000"/>
          <w:sz w:val="24"/>
          <w:szCs w:val="24"/>
          <w:shd w:val="clear" w:color="auto" w:fill="FFFFFF"/>
          <w:lang w:val="en-US"/>
        </w:rPr>
      </w:pPr>
      <w:r w:rsidRPr="00DF1FC6">
        <w:rPr>
          <w:rFonts w:ascii="Times New Roman" w:hAnsi="Times New Roman" w:cs="Times New Roman"/>
          <w:color w:val="000000"/>
          <w:sz w:val="24"/>
          <w:szCs w:val="24"/>
          <w:shd w:val="clear" w:color="auto" w:fill="FFFFFF"/>
          <w:lang w:val="en-US"/>
        </w:rPr>
        <w:t xml:space="preserve">MERCAN, E.; SERT, D.; AKIN, N. Determination of powder flow properties of skim milk powder produced from high-pressure homogenization treated milk concentrates during storage. </w:t>
      </w:r>
      <w:r w:rsidRPr="00DF1FC6">
        <w:rPr>
          <w:rFonts w:ascii="Times New Roman" w:hAnsi="Times New Roman" w:cs="Times New Roman"/>
          <w:b/>
          <w:color w:val="000000"/>
          <w:sz w:val="24"/>
          <w:szCs w:val="24"/>
          <w:shd w:val="clear" w:color="auto" w:fill="FFFFFF"/>
          <w:lang w:val="en-US"/>
        </w:rPr>
        <w:t>LWT</w:t>
      </w:r>
      <w:r w:rsidRPr="00DF1FC6">
        <w:rPr>
          <w:rFonts w:ascii="Times New Roman" w:hAnsi="Times New Roman" w:cs="Times New Roman"/>
          <w:color w:val="000000"/>
          <w:sz w:val="24"/>
          <w:szCs w:val="24"/>
          <w:shd w:val="clear" w:color="auto" w:fill="FFFFFF"/>
          <w:lang w:val="en-US"/>
        </w:rPr>
        <w:t>, v. 97, p. 279-288, 2018.</w:t>
      </w:r>
    </w:p>
    <w:p w14:paraId="2B57E411"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706C78">
        <w:rPr>
          <w:rFonts w:ascii="Times New Roman" w:hAnsi="Times New Roman" w:cs="Times New Roman"/>
          <w:sz w:val="24"/>
          <w:szCs w:val="24"/>
          <w:lang w:val="en-US"/>
        </w:rPr>
        <w:lastRenderedPageBreak/>
        <w:t xml:space="preserve">MURRIETA-PAZOS, I. et al. </w:t>
      </w:r>
      <w:r w:rsidRPr="00DF1FC6">
        <w:rPr>
          <w:rFonts w:ascii="Times New Roman" w:hAnsi="Times New Roman" w:cs="Times New Roman"/>
          <w:sz w:val="24"/>
          <w:szCs w:val="24"/>
          <w:lang w:val="en-US"/>
        </w:rPr>
        <w:t xml:space="preserve">Composition gradient from surface to core in dairy powders: Agglomeration effect. </w:t>
      </w:r>
      <w:r w:rsidRPr="00DF1FC6">
        <w:rPr>
          <w:rFonts w:ascii="Times New Roman" w:hAnsi="Times New Roman" w:cs="Times New Roman"/>
          <w:b/>
          <w:sz w:val="24"/>
          <w:szCs w:val="24"/>
          <w:lang w:val="en-US"/>
        </w:rPr>
        <w:t>Food Hydrocolloids</w:t>
      </w:r>
      <w:r w:rsidRPr="00DF1FC6">
        <w:rPr>
          <w:rFonts w:ascii="Times New Roman" w:hAnsi="Times New Roman" w:cs="Times New Roman"/>
          <w:sz w:val="24"/>
          <w:szCs w:val="24"/>
          <w:lang w:val="en-US"/>
        </w:rPr>
        <w:t>, v. 26, n. 1, p. 149–158, 2012.</w:t>
      </w:r>
    </w:p>
    <w:p w14:paraId="65D53392"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NIJDAM, J. J.; LANGRISH, T. A. G. The effect of surface composition on the functional properties of milk powders. </w:t>
      </w:r>
      <w:r w:rsidRPr="00DF1FC6">
        <w:rPr>
          <w:rFonts w:ascii="Times New Roman" w:hAnsi="Times New Roman" w:cs="Times New Roman"/>
          <w:b/>
          <w:sz w:val="24"/>
          <w:szCs w:val="24"/>
          <w:lang w:val="en-US"/>
        </w:rPr>
        <w:t>Journal of Food Engineering</w:t>
      </w:r>
      <w:r w:rsidRPr="00DF1FC6">
        <w:rPr>
          <w:rFonts w:ascii="Times New Roman" w:hAnsi="Times New Roman" w:cs="Times New Roman"/>
          <w:sz w:val="24"/>
          <w:szCs w:val="24"/>
          <w:lang w:val="en-US"/>
        </w:rPr>
        <w:t>, v. 77, n. 4, p. 919–925, 2006.</w:t>
      </w:r>
    </w:p>
    <w:p w14:paraId="3F28483F"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NIKOLOVA, Y. et al. Is it possible to modulate the structure of skim milk particle through drying process and parameters? </w:t>
      </w:r>
      <w:r w:rsidRPr="00DF1FC6">
        <w:rPr>
          <w:rFonts w:ascii="Times New Roman" w:hAnsi="Times New Roman" w:cs="Times New Roman"/>
          <w:b/>
          <w:sz w:val="24"/>
          <w:szCs w:val="24"/>
          <w:lang w:val="en-US"/>
        </w:rPr>
        <w:t>Journal of Food Engineering</w:t>
      </w:r>
      <w:r w:rsidRPr="00DF1FC6">
        <w:rPr>
          <w:rFonts w:ascii="Times New Roman" w:hAnsi="Times New Roman" w:cs="Times New Roman"/>
          <w:sz w:val="24"/>
          <w:szCs w:val="24"/>
          <w:lang w:val="en-US"/>
        </w:rPr>
        <w:t xml:space="preserve">, v. 142, p. 179–189, 2014. </w:t>
      </w:r>
    </w:p>
    <w:p w14:paraId="07687B6C"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NIKOLOVA, Y. et al. Toward a better determination of dairy powders surface composition through XPS matrices development. </w:t>
      </w:r>
      <w:r w:rsidRPr="00DF1FC6">
        <w:rPr>
          <w:rFonts w:ascii="Times New Roman" w:hAnsi="Times New Roman" w:cs="Times New Roman"/>
          <w:b/>
          <w:sz w:val="24"/>
          <w:szCs w:val="24"/>
          <w:lang w:val="en-US"/>
        </w:rPr>
        <w:t>Colloids and Surfaces B: Biointerfaces</w:t>
      </w:r>
      <w:r w:rsidRPr="00DF1FC6">
        <w:rPr>
          <w:rFonts w:ascii="Times New Roman" w:hAnsi="Times New Roman" w:cs="Times New Roman"/>
          <w:sz w:val="24"/>
          <w:szCs w:val="24"/>
          <w:lang w:val="en-US"/>
        </w:rPr>
        <w:t>, v. 125, p. 12–20, 2015.</w:t>
      </w:r>
    </w:p>
    <w:p w14:paraId="4E538C3D" w14:textId="77777777" w:rsidR="00706C78" w:rsidRPr="00706C78" w:rsidRDefault="00706C78" w:rsidP="00706C78">
      <w:pPr>
        <w:spacing w:after="0" w:line="360" w:lineRule="auto"/>
        <w:jc w:val="both"/>
        <w:rPr>
          <w:rFonts w:ascii="Times New Roman" w:hAnsi="Times New Roman" w:cs="Times New Roman"/>
          <w:color w:val="000000"/>
          <w:sz w:val="24"/>
          <w:szCs w:val="24"/>
          <w:shd w:val="clear" w:color="auto" w:fill="FFFFFF"/>
          <w:lang w:val="en-US"/>
        </w:rPr>
      </w:pPr>
      <w:r w:rsidRPr="00706C78">
        <w:rPr>
          <w:rFonts w:ascii="Times New Roman" w:hAnsi="Times New Roman" w:cs="Times New Roman"/>
          <w:color w:val="000000"/>
          <w:sz w:val="24"/>
          <w:szCs w:val="24"/>
          <w:shd w:val="clear" w:color="auto" w:fill="FFFFFF"/>
          <w:lang w:val="en-US"/>
        </w:rPr>
        <w:t xml:space="preserve">PERRONE, I. T.; SCHUCK, PIERRE ; MARTINS, E. ; SILVA, . </w:t>
      </w:r>
      <w:r w:rsidRPr="00DF1FC6">
        <w:rPr>
          <w:rFonts w:ascii="Times New Roman" w:hAnsi="Times New Roman" w:cs="Times New Roman"/>
          <w:color w:val="000000"/>
          <w:sz w:val="24"/>
          <w:szCs w:val="24"/>
          <w:shd w:val="clear" w:color="auto" w:fill="FFFFFF"/>
        </w:rPr>
        <w:t xml:space="preserve">R. ; PEREIRA, J. P. F.; RODRIGUES, R.C.; STEPHANI, R.; CARVALHO, A.F. Uso de ferramentas matemáticas em processos de secagem de leite e soro. </w:t>
      </w:r>
      <w:r w:rsidRPr="00706C78">
        <w:rPr>
          <w:rFonts w:ascii="Times New Roman" w:hAnsi="Times New Roman" w:cs="Times New Roman"/>
          <w:b/>
          <w:color w:val="000000"/>
          <w:sz w:val="24"/>
          <w:szCs w:val="24"/>
          <w:shd w:val="clear" w:color="auto" w:fill="FFFFFF"/>
          <w:lang w:val="en-US"/>
        </w:rPr>
        <w:t>Indústria de Laticínios</w:t>
      </w:r>
      <w:r w:rsidRPr="00706C78">
        <w:rPr>
          <w:rFonts w:ascii="Times New Roman" w:hAnsi="Times New Roman" w:cs="Times New Roman"/>
          <w:color w:val="000000"/>
          <w:sz w:val="24"/>
          <w:szCs w:val="24"/>
          <w:shd w:val="clear" w:color="auto" w:fill="FFFFFF"/>
          <w:lang w:val="en-US"/>
        </w:rPr>
        <w:t>, v. 123, p. 68-70, 2016.</w:t>
      </w:r>
    </w:p>
    <w:p w14:paraId="7637EE3A"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PISECKY, J., Handbook of Milk Powder Manufacture, second ed. </w:t>
      </w:r>
      <w:r w:rsidRPr="00DF1FC6">
        <w:rPr>
          <w:rFonts w:ascii="Times New Roman" w:hAnsi="Times New Roman" w:cs="Times New Roman"/>
          <w:b/>
          <w:sz w:val="24"/>
          <w:szCs w:val="24"/>
          <w:lang w:val="en-US"/>
        </w:rPr>
        <w:t>GEA Process Engineering A/S</w:t>
      </w:r>
      <w:r w:rsidRPr="00DF1FC6">
        <w:rPr>
          <w:rFonts w:ascii="Times New Roman" w:hAnsi="Times New Roman" w:cs="Times New Roman"/>
          <w:sz w:val="24"/>
          <w:szCs w:val="24"/>
          <w:lang w:val="en-US"/>
        </w:rPr>
        <w:t>. 2012</w:t>
      </w:r>
    </w:p>
    <w:p w14:paraId="5ABB20C1"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t xml:space="preserve">SCHUCK, P.; JEANTET, R.; BHANDARI, B.; CHEN, X.D.; PERRONE, I.T.; CARVALHO, A.F.; FENELON, M.; KELLY, P. Recent advances in spray drying relevant to the dairy industry: A comprehensive critical review. </w:t>
      </w:r>
      <w:r w:rsidRPr="00DF1FC6">
        <w:rPr>
          <w:rFonts w:ascii="Times New Roman" w:hAnsi="Times New Roman" w:cs="Times New Roman"/>
          <w:b/>
          <w:sz w:val="24"/>
          <w:szCs w:val="24"/>
          <w:lang w:val="en-US"/>
        </w:rPr>
        <w:t>Drying Technology</w:t>
      </w:r>
      <w:r w:rsidRPr="00DF1FC6">
        <w:rPr>
          <w:rFonts w:ascii="Times New Roman" w:hAnsi="Times New Roman" w:cs="Times New Roman"/>
          <w:sz w:val="24"/>
          <w:szCs w:val="24"/>
          <w:lang w:val="en-US"/>
        </w:rPr>
        <w:t>, v. 34, p. 1773-1790, 2016.</w:t>
      </w:r>
    </w:p>
    <w:p w14:paraId="57E4655A" w14:textId="77777777" w:rsidR="00706C78" w:rsidRPr="00DF1FC6" w:rsidRDefault="00706C78" w:rsidP="00706C78">
      <w:pPr>
        <w:spacing w:after="0" w:line="360" w:lineRule="auto"/>
        <w:jc w:val="both"/>
        <w:rPr>
          <w:rFonts w:ascii="Times New Roman" w:hAnsi="Times New Roman" w:cs="Times New Roman"/>
          <w:color w:val="000000"/>
          <w:sz w:val="24"/>
          <w:szCs w:val="24"/>
          <w:shd w:val="clear" w:color="auto" w:fill="FFFFFF"/>
          <w:lang w:val="en-US"/>
        </w:rPr>
      </w:pPr>
      <w:r w:rsidRPr="00DF1FC6">
        <w:rPr>
          <w:rFonts w:ascii="Times New Roman" w:hAnsi="Times New Roman" w:cs="Times New Roman"/>
          <w:color w:val="000000"/>
          <w:sz w:val="24"/>
          <w:szCs w:val="24"/>
          <w:shd w:val="clear" w:color="auto" w:fill="FFFFFF"/>
          <w:lang w:val="en-US"/>
        </w:rPr>
        <w:t xml:space="preserve">SCHMIDMEIER, C. et al. Elucidation of factors responsible for formation of white flecks in reconstituted fat filled milk powders. </w:t>
      </w:r>
      <w:r w:rsidRPr="00DF1FC6">
        <w:rPr>
          <w:rFonts w:ascii="Times New Roman" w:hAnsi="Times New Roman" w:cs="Times New Roman"/>
          <w:b/>
          <w:color w:val="000000"/>
          <w:sz w:val="24"/>
          <w:szCs w:val="24"/>
          <w:shd w:val="clear" w:color="auto" w:fill="FFFFFF"/>
          <w:lang w:val="en-US"/>
        </w:rPr>
        <w:t>Colloids and Surfaces A: Physicochemical and Engineering Aspects</w:t>
      </w:r>
      <w:r w:rsidRPr="00DF1FC6">
        <w:rPr>
          <w:rFonts w:ascii="Times New Roman" w:hAnsi="Times New Roman" w:cs="Times New Roman"/>
          <w:color w:val="000000"/>
          <w:sz w:val="24"/>
          <w:szCs w:val="24"/>
          <w:shd w:val="clear" w:color="auto" w:fill="FFFFFF"/>
          <w:lang w:val="en-US"/>
        </w:rPr>
        <w:t>, v. 575, p. 245-255, 2019.</w:t>
      </w:r>
    </w:p>
    <w:p w14:paraId="70111458" w14:textId="77777777" w:rsidR="00706C78" w:rsidRPr="00DF1FC6" w:rsidRDefault="00706C78" w:rsidP="00706C78">
      <w:pPr>
        <w:spacing w:after="0" w:line="360" w:lineRule="auto"/>
        <w:jc w:val="both"/>
        <w:rPr>
          <w:rFonts w:ascii="Times New Roman" w:hAnsi="Times New Roman" w:cs="Times New Roman"/>
          <w:sz w:val="24"/>
          <w:szCs w:val="24"/>
        </w:rPr>
      </w:pPr>
      <w:r w:rsidRPr="00DF1FC6">
        <w:rPr>
          <w:rFonts w:ascii="Times New Roman" w:hAnsi="Times New Roman" w:cs="Times New Roman"/>
          <w:sz w:val="24"/>
          <w:szCs w:val="24"/>
        </w:rPr>
        <w:t xml:space="preserve">SILVEIRA, A. C. P., et al. Secagem por Spray drying: uma revisão. </w:t>
      </w:r>
      <w:r w:rsidRPr="00DF1FC6">
        <w:rPr>
          <w:rFonts w:ascii="Times New Roman" w:hAnsi="Times New Roman" w:cs="Times New Roman"/>
          <w:b/>
          <w:sz w:val="24"/>
          <w:szCs w:val="24"/>
        </w:rPr>
        <w:t xml:space="preserve">Revista do Instituto de Laticínios Cândido Tostes, </w:t>
      </w:r>
      <w:r w:rsidRPr="00DF1FC6">
        <w:rPr>
          <w:rFonts w:ascii="Times New Roman" w:hAnsi="Times New Roman" w:cs="Times New Roman"/>
          <w:sz w:val="24"/>
          <w:szCs w:val="24"/>
        </w:rPr>
        <w:t>v. 68, n. 391, p. 51–58, 2013.</w:t>
      </w:r>
    </w:p>
    <w:p w14:paraId="5A466E53" w14:textId="77777777" w:rsidR="00706C78" w:rsidRPr="00DF1FC6" w:rsidRDefault="00706C78" w:rsidP="00706C78">
      <w:pPr>
        <w:spacing w:after="0" w:line="360" w:lineRule="auto"/>
        <w:jc w:val="both"/>
        <w:rPr>
          <w:rFonts w:ascii="Times New Roman" w:hAnsi="Times New Roman" w:cs="Times New Roman"/>
          <w:sz w:val="24"/>
          <w:szCs w:val="24"/>
          <w:lang w:val="fr-FR"/>
        </w:rPr>
      </w:pPr>
      <w:r w:rsidRPr="00DF1FC6">
        <w:rPr>
          <w:rFonts w:ascii="Times New Roman" w:hAnsi="Times New Roman" w:cs="Times New Roman"/>
          <w:sz w:val="24"/>
          <w:szCs w:val="24"/>
          <w:lang w:val="en-US"/>
        </w:rPr>
        <w:t xml:space="preserve">VEGA, C.; ROOS, Y. H. Invited Review: Spray-Dried Dairy and Dairy-Like Emulsions—Compositional Considerations. </w:t>
      </w:r>
      <w:r w:rsidRPr="00DF1FC6">
        <w:rPr>
          <w:rFonts w:ascii="Times New Roman" w:hAnsi="Times New Roman" w:cs="Times New Roman"/>
          <w:b/>
          <w:sz w:val="24"/>
          <w:szCs w:val="24"/>
          <w:lang w:val="fr-FR"/>
        </w:rPr>
        <w:t>Journal of Dairy Science</w:t>
      </w:r>
      <w:r w:rsidRPr="00DF1FC6">
        <w:rPr>
          <w:rFonts w:ascii="Times New Roman" w:hAnsi="Times New Roman" w:cs="Times New Roman"/>
          <w:sz w:val="24"/>
          <w:szCs w:val="24"/>
          <w:lang w:val="fr-FR"/>
        </w:rPr>
        <w:t xml:space="preserve">, v. 89, n. 2, p. 383–401, 2006. </w:t>
      </w:r>
    </w:p>
    <w:p w14:paraId="5B0357D1"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fr-FR"/>
        </w:rPr>
        <w:t xml:space="preserve">VIGNOLLES, M. L. et al. </w:t>
      </w:r>
      <w:r w:rsidRPr="00DF1FC6">
        <w:rPr>
          <w:rFonts w:ascii="Times New Roman" w:hAnsi="Times New Roman" w:cs="Times New Roman"/>
          <w:sz w:val="24"/>
          <w:szCs w:val="24"/>
          <w:lang w:val="en-US"/>
        </w:rPr>
        <w:t xml:space="preserve">Methods’ combination to investigate the suprastructure, composition and properties of fat in fat-filled dairy powders. </w:t>
      </w:r>
      <w:r w:rsidRPr="00DF1FC6">
        <w:rPr>
          <w:rFonts w:ascii="Times New Roman" w:hAnsi="Times New Roman" w:cs="Times New Roman"/>
          <w:b/>
          <w:sz w:val="24"/>
          <w:szCs w:val="24"/>
          <w:lang w:val="en-US"/>
        </w:rPr>
        <w:t>Journal of Food Engineering</w:t>
      </w:r>
      <w:r w:rsidRPr="00DF1FC6">
        <w:rPr>
          <w:rFonts w:ascii="Times New Roman" w:hAnsi="Times New Roman" w:cs="Times New Roman"/>
          <w:sz w:val="24"/>
          <w:szCs w:val="24"/>
          <w:lang w:val="en-US"/>
        </w:rPr>
        <w:t>, v. 94, n. 2, p. 154–162, 2009.</w:t>
      </w:r>
    </w:p>
    <w:p w14:paraId="2A4CDBD2" w14:textId="77777777" w:rsidR="00706C78" w:rsidRPr="00DF1FC6" w:rsidRDefault="00706C78" w:rsidP="00706C78">
      <w:pPr>
        <w:spacing w:after="0" w:line="360" w:lineRule="auto"/>
        <w:jc w:val="both"/>
        <w:rPr>
          <w:rFonts w:ascii="Times New Roman" w:hAnsi="Times New Roman" w:cs="Times New Roman"/>
          <w:sz w:val="24"/>
          <w:szCs w:val="24"/>
          <w:lang w:val="fr-FR"/>
        </w:rPr>
      </w:pPr>
      <w:r w:rsidRPr="00DF1FC6">
        <w:rPr>
          <w:rFonts w:ascii="Times New Roman" w:hAnsi="Times New Roman" w:cs="Times New Roman"/>
          <w:sz w:val="24"/>
          <w:szCs w:val="24"/>
          <w:lang w:val="en-US"/>
        </w:rPr>
        <w:t xml:space="preserve">VIGNOLLES, M.-L. et al. Free fat, surface fat and dairy powders: interactions between process and product. </w:t>
      </w:r>
      <w:r w:rsidRPr="00DF1FC6">
        <w:rPr>
          <w:rFonts w:ascii="Times New Roman" w:hAnsi="Times New Roman" w:cs="Times New Roman"/>
          <w:b/>
          <w:sz w:val="24"/>
          <w:szCs w:val="24"/>
          <w:lang w:val="fr-FR"/>
        </w:rPr>
        <w:t>A review. Le Lait</w:t>
      </w:r>
      <w:r w:rsidRPr="00DF1FC6">
        <w:rPr>
          <w:rFonts w:ascii="Times New Roman" w:hAnsi="Times New Roman" w:cs="Times New Roman"/>
          <w:sz w:val="24"/>
          <w:szCs w:val="24"/>
          <w:lang w:val="fr-FR"/>
        </w:rPr>
        <w:t>, v. 87, n. 3, p. 187–236, 2007.</w:t>
      </w:r>
    </w:p>
    <w:p w14:paraId="6199DA88" w14:textId="77777777" w:rsidR="00706C78" w:rsidRPr="00DF1FC6"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fr-FR"/>
        </w:rPr>
        <w:t xml:space="preserve">XU, Y. Y. et al. </w:t>
      </w:r>
      <w:r w:rsidRPr="00DF1FC6">
        <w:rPr>
          <w:rFonts w:ascii="Times New Roman" w:hAnsi="Times New Roman" w:cs="Times New Roman"/>
          <w:sz w:val="24"/>
          <w:szCs w:val="24"/>
          <w:lang w:val="en-US"/>
        </w:rPr>
        <w:t xml:space="preserve">Effects of Emulsification of Fat on the Surface Tension of Protein Solutions and Surface Properties of the Resultant Spray-Dried Particles. </w:t>
      </w:r>
      <w:r w:rsidRPr="00DF1FC6">
        <w:rPr>
          <w:rFonts w:ascii="Times New Roman" w:hAnsi="Times New Roman" w:cs="Times New Roman"/>
          <w:b/>
          <w:sz w:val="24"/>
          <w:szCs w:val="24"/>
          <w:lang w:val="en-US"/>
        </w:rPr>
        <w:t xml:space="preserve">Drying Technology, </w:t>
      </w:r>
      <w:r w:rsidRPr="00DF1FC6">
        <w:rPr>
          <w:rFonts w:ascii="Times New Roman" w:hAnsi="Times New Roman" w:cs="Times New Roman"/>
          <w:sz w:val="24"/>
          <w:szCs w:val="24"/>
          <w:lang w:val="en-US"/>
        </w:rPr>
        <w:t>v. 31, n. 16, p. 1939–1950, 2013.</w:t>
      </w:r>
    </w:p>
    <w:p w14:paraId="66618C0A" w14:textId="77777777" w:rsidR="00706C78" w:rsidRPr="00706C78" w:rsidRDefault="00706C78" w:rsidP="00706C78">
      <w:pPr>
        <w:spacing w:after="0" w:line="360" w:lineRule="auto"/>
        <w:jc w:val="both"/>
        <w:rPr>
          <w:rFonts w:ascii="Times New Roman" w:hAnsi="Times New Roman" w:cs="Times New Roman"/>
          <w:sz w:val="24"/>
          <w:szCs w:val="24"/>
          <w:lang w:val="en-US"/>
        </w:rPr>
      </w:pPr>
      <w:r w:rsidRPr="00DF1FC6">
        <w:rPr>
          <w:rFonts w:ascii="Times New Roman" w:hAnsi="Times New Roman" w:cs="Times New Roman"/>
          <w:sz w:val="24"/>
          <w:szCs w:val="24"/>
          <w:lang w:val="en-US"/>
        </w:rPr>
        <w:lastRenderedPageBreak/>
        <w:t xml:space="preserve">WU, W. D. et al. Towards spray drying of high solids dairy liquid: Effects of feed solid content on particle structure and functionality. </w:t>
      </w:r>
      <w:r w:rsidRPr="00706C78">
        <w:rPr>
          <w:rFonts w:ascii="Times New Roman" w:hAnsi="Times New Roman" w:cs="Times New Roman"/>
          <w:b/>
          <w:sz w:val="24"/>
          <w:szCs w:val="24"/>
          <w:lang w:val="en-US"/>
        </w:rPr>
        <w:t>Journal of Food Engineering</w:t>
      </w:r>
      <w:r w:rsidRPr="00706C78">
        <w:rPr>
          <w:rFonts w:ascii="Times New Roman" w:hAnsi="Times New Roman" w:cs="Times New Roman"/>
          <w:sz w:val="24"/>
          <w:szCs w:val="24"/>
          <w:lang w:val="en-US"/>
        </w:rPr>
        <w:t xml:space="preserve">, v. 123, p. 130–135, 2014. </w:t>
      </w:r>
    </w:p>
    <w:p w14:paraId="47464668" w14:textId="77777777" w:rsidR="00706C78" w:rsidRPr="00706C78" w:rsidRDefault="00706C78" w:rsidP="00706C78">
      <w:pPr>
        <w:rPr>
          <w:lang w:val="en-US"/>
        </w:rPr>
      </w:pPr>
      <w:r w:rsidRPr="00706C78">
        <w:rPr>
          <w:lang w:val="en-US"/>
        </w:rPr>
        <w:t xml:space="preserve">  </w:t>
      </w:r>
    </w:p>
    <w:p w14:paraId="1B6D925F" w14:textId="77777777" w:rsidR="00B52186" w:rsidRPr="00706C78" w:rsidRDefault="00B52186" w:rsidP="003C6E36">
      <w:pPr>
        <w:pStyle w:val="SemEspaamento"/>
        <w:spacing w:line="360" w:lineRule="auto"/>
        <w:jc w:val="both"/>
        <w:rPr>
          <w:rFonts w:ascii="Arial" w:hAnsi="Arial" w:cs="Arial"/>
          <w:sz w:val="24"/>
          <w:szCs w:val="24"/>
          <w:lang w:val="en-US"/>
        </w:rPr>
      </w:pPr>
    </w:p>
    <w:p w14:paraId="0C542EDA" w14:textId="77777777" w:rsidR="00B52186" w:rsidRPr="0005671A" w:rsidRDefault="00B52186" w:rsidP="003C6E36">
      <w:pPr>
        <w:spacing w:after="0" w:line="360" w:lineRule="auto"/>
        <w:jc w:val="both"/>
        <w:rPr>
          <w:rFonts w:ascii="Times New Roman" w:hAnsi="Times New Roman" w:cs="Times New Roman"/>
          <w:sz w:val="24"/>
          <w:szCs w:val="24"/>
          <w:lang w:val="en-US"/>
        </w:rPr>
      </w:pPr>
    </w:p>
    <w:sectPr w:rsidR="00B52186" w:rsidRPr="0005671A" w:rsidSect="00E86CCC">
      <w:footerReference w:type="even" r:id="rId28"/>
      <w:footerReference w:type="default" r:id="rId29"/>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1478A" w14:textId="77777777" w:rsidR="00803E10" w:rsidRDefault="00803E10" w:rsidP="0091470D">
      <w:pPr>
        <w:spacing w:after="0" w:line="240" w:lineRule="auto"/>
      </w:pPr>
      <w:r>
        <w:separator/>
      </w:r>
    </w:p>
  </w:endnote>
  <w:endnote w:type="continuationSeparator" w:id="0">
    <w:p w14:paraId="3D85D753" w14:textId="77777777" w:rsidR="00803E10" w:rsidRDefault="00803E10" w:rsidP="0091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4020202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6052866"/>
      <w:docPartObj>
        <w:docPartGallery w:val="Page Numbers (Bottom of Page)"/>
        <w:docPartUnique/>
      </w:docPartObj>
    </w:sdtPr>
    <w:sdtContent>
      <w:p w14:paraId="61147B7A" w14:textId="3337ADB6" w:rsidR="005F09BB" w:rsidRDefault="005F09BB" w:rsidP="005F09BB">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A60B83" w14:textId="77777777" w:rsidR="005F09BB" w:rsidRDefault="005F09BB" w:rsidP="003C6E3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68762742"/>
      <w:docPartObj>
        <w:docPartGallery w:val="Page Numbers (Bottom of Page)"/>
        <w:docPartUnique/>
      </w:docPartObj>
    </w:sdtPr>
    <w:sdtContent>
      <w:p w14:paraId="278174F7" w14:textId="433ACA35" w:rsidR="005F09BB" w:rsidRDefault="005F09BB" w:rsidP="005F09BB">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2E84924B" w14:textId="693677B8" w:rsidR="005F09BB" w:rsidRPr="00BA5F97" w:rsidRDefault="005F09BB" w:rsidP="00BF3C2F">
    <w:pPr>
      <w:pStyle w:val="Rodap"/>
      <w:jc w:val="both"/>
      <w:rPr>
        <w:rFonts w:ascii="Times New Roman" w:eastAsia="Times New Roman" w:hAnsi="Times New Roman" w:cs="Times New Roman"/>
        <w:sz w:val="24"/>
        <w:szCs w:val="24"/>
      </w:rPr>
    </w:pPr>
  </w:p>
  <w:p w14:paraId="2EED2056" w14:textId="77777777" w:rsidR="005F09BB" w:rsidRPr="00BA5F97" w:rsidRDefault="005F09BB" w:rsidP="00BF3C2F">
    <w:pPr>
      <w:pStyle w:val="Rodap"/>
      <w:jc w:val="both"/>
      <w:rPr>
        <w:rFonts w:ascii="Times New Roman" w:eastAsia="Times New Roman" w:hAnsi="Times New Roman" w:cs="Times New Roman"/>
        <w:sz w:val="24"/>
        <w:szCs w:val="24"/>
      </w:rPr>
    </w:pPr>
  </w:p>
  <w:p w14:paraId="2ECEEF01" w14:textId="77777777" w:rsidR="005F09BB" w:rsidRDefault="005F09BB">
    <w:pPr>
      <w:pStyle w:val="Rodap"/>
    </w:pPr>
  </w:p>
  <w:p w14:paraId="53B3C1F8" w14:textId="77777777" w:rsidR="005F09BB" w:rsidRDefault="005F09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13107" w14:textId="77777777" w:rsidR="00803E10" w:rsidRDefault="00803E10" w:rsidP="0091470D">
      <w:pPr>
        <w:spacing w:after="0" w:line="240" w:lineRule="auto"/>
      </w:pPr>
      <w:r>
        <w:separator/>
      </w:r>
    </w:p>
  </w:footnote>
  <w:footnote w:type="continuationSeparator" w:id="0">
    <w:p w14:paraId="135108AE" w14:textId="77777777" w:rsidR="00803E10" w:rsidRDefault="00803E10" w:rsidP="00914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7844"/>
    <w:multiLevelType w:val="hybridMultilevel"/>
    <w:tmpl w:val="D362DF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9D2C45"/>
    <w:multiLevelType w:val="multilevel"/>
    <w:tmpl w:val="E3CCA69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AB"/>
    <w:rsid w:val="00002583"/>
    <w:rsid w:val="00003E0F"/>
    <w:rsid w:val="00006180"/>
    <w:rsid w:val="000078E5"/>
    <w:rsid w:val="00011CF9"/>
    <w:rsid w:val="0001636B"/>
    <w:rsid w:val="00021EBC"/>
    <w:rsid w:val="00023E40"/>
    <w:rsid w:val="00024F51"/>
    <w:rsid w:val="00026159"/>
    <w:rsid w:val="0003707E"/>
    <w:rsid w:val="000374C3"/>
    <w:rsid w:val="00045C36"/>
    <w:rsid w:val="00047950"/>
    <w:rsid w:val="000502E8"/>
    <w:rsid w:val="0005671A"/>
    <w:rsid w:val="00061D05"/>
    <w:rsid w:val="00061E62"/>
    <w:rsid w:val="00075D22"/>
    <w:rsid w:val="00080284"/>
    <w:rsid w:val="000817AC"/>
    <w:rsid w:val="00084C7F"/>
    <w:rsid w:val="00092484"/>
    <w:rsid w:val="00094478"/>
    <w:rsid w:val="00095645"/>
    <w:rsid w:val="000A148D"/>
    <w:rsid w:val="000A4BAE"/>
    <w:rsid w:val="000A6228"/>
    <w:rsid w:val="000B1E40"/>
    <w:rsid w:val="000B2F20"/>
    <w:rsid w:val="000B39B0"/>
    <w:rsid w:val="000B3D5C"/>
    <w:rsid w:val="000B5396"/>
    <w:rsid w:val="000B5BAA"/>
    <w:rsid w:val="000C6863"/>
    <w:rsid w:val="000D0873"/>
    <w:rsid w:val="000D1663"/>
    <w:rsid w:val="000D1FDB"/>
    <w:rsid w:val="000D3843"/>
    <w:rsid w:val="000D3962"/>
    <w:rsid w:val="000D477D"/>
    <w:rsid w:val="000D5D36"/>
    <w:rsid w:val="000D6B82"/>
    <w:rsid w:val="000E2A7F"/>
    <w:rsid w:val="000E63A2"/>
    <w:rsid w:val="000E6612"/>
    <w:rsid w:val="000F3D19"/>
    <w:rsid w:val="000F5186"/>
    <w:rsid w:val="000F6346"/>
    <w:rsid w:val="00100E06"/>
    <w:rsid w:val="00106209"/>
    <w:rsid w:val="00107D82"/>
    <w:rsid w:val="00112189"/>
    <w:rsid w:val="00113197"/>
    <w:rsid w:val="001135F5"/>
    <w:rsid w:val="001168F7"/>
    <w:rsid w:val="00121AED"/>
    <w:rsid w:val="00123F46"/>
    <w:rsid w:val="00132262"/>
    <w:rsid w:val="001331C0"/>
    <w:rsid w:val="001365E7"/>
    <w:rsid w:val="001371F5"/>
    <w:rsid w:val="00142D61"/>
    <w:rsid w:val="00146E47"/>
    <w:rsid w:val="00147812"/>
    <w:rsid w:val="00153B96"/>
    <w:rsid w:val="001560FB"/>
    <w:rsid w:val="00161D1E"/>
    <w:rsid w:val="00162F39"/>
    <w:rsid w:val="00171A41"/>
    <w:rsid w:val="001754E5"/>
    <w:rsid w:val="00176C99"/>
    <w:rsid w:val="0018004E"/>
    <w:rsid w:val="001835D9"/>
    <w:rsid w:val="00184B31"/>
    <w:rsid w:val="00192616"/>
    <w:rsid w:val="00192A9A"/>
    <w:rsid w:val="001938E5"/>
    <w:rsid w:val="00194915"/>
    <w:rsid w:val="001A4FE6"/>
    <w:rsid w:val="001B1A77"/>
    <w:rsid w:val="001B4205"/>
    <w:rsid w:val="001B5A6F"/>
    <w:rsid w:val="001B5B6D"/>
    <w:rsid w:val="001B7A15"/>
    <w:rsid w:val="001C14C8"/>
    <w:rsid w:val="001C31B0"/>
    <w:rsid w:val="001C3E25"/>
    <w:rsid w:val="001C5C2E"/>
    <w:rsid w:val="001C6501"/>
    <w:rsid w:val="001C6F19"/>
    <w:rsid w:val="001D025B"/>
    <w:rsid w:val="001D2A27"/>
    <w:rsid w:val="001E73C1"/>
    <w:rsid w:val="001F0592"/>
    <w:rsid w:val="001F0A78"/>
    <w:rsid w:val="001F0EDF"/>
    <w:rsid w:val="001F2C4E"/>
    <w:rsid w:val="001F36AD"/>
    <w:rsid w:val="002075DE"/>
    <w:rsid w:val="00213A4B"/>
    <w:rsid w:val="00223D4E"/>
    <w:rsid w:val="00223EAF"/>
    <w:rsid w:val="00224827"/>
    <w:rsid w:val="002256D8"/>
    <w:rsid w:val="00226624"/>
    <w:rsid w:val="00226920"/>
    <w:rsid w:val="002364B5"/>
    <w:rsid w:val="00242460"/>
    <w:rsid w:val="00244298"/>
    <w:rsid w:val="00246E25"/>
    <w:rsid w:val="00254076"/>
    <w:rsid w:val="00262337"/>
    <w:rsid w:val="002635F5"/>
    <w:rsid w:val="00272664"/>
    <w:rsid w:val="00272FD7"/>
    <w:rsid w:val="00273A7C"/>
    <w:rsid w:val="00273D61"/>
    <w:rsid w:val="002742AB"/>
    <w:rsid w:val="00277007"/>
    <w:rsid w:val="00281F7E"/>
    <w:rsid w:val="00286914"/>
    <w:rsid w:val="002A0222"/>
    <w:rsid w:val="002A4280"/>
    <w:rsid w:val="002A4B9C"/>
    <w:rsid w:val="002B219F"/>
    <w:rsid w:val="002B2B00"/>
    <w:rsid w:val="002B68D7"/>
    <w:rsid w:val="002C1B77"/>
    <w:rsid w:val="002D0E06"/>
    <w:rsid w:val="002D0E81"/>
    <w:rsid w:val="002D2852"/>
    <w:rsid w:val="002D3E9D"/>
    <w:rsid w:val="002D6E6C"/>
    <w:rsid w:val="002E1427"/>
    <w:rsid w:val="002E3C87"/>
    <w:rsid w:val="002E4648"/>
    <w:rsid w:val="002F2019"/>
    <w:rsid w:val="002F21F1"/>
    <w:rsid w:val="002F534A"/>
    <w:rsid w:val="002F6BB5"/>
    <w:rsid w:val="00300477"/>
    <w:rsid w:val="00303A7C"/>
    <w:rsid w:val="00306DE4"/>
    <w:rsid w:val="003143A1"/>
    <w:rsid w:val="0031799A"/>
    <w:rsid w:val="003252A8"/>
    <w:rsid w:val="00326494"/>
    <w:rsid w:val="003267F6"/>
    <w:rsid w:val="0032690D"/>
    <w:rsid w:val="0033636C"/>
    <w:rsid w:val="003373A4"/>
    <w:rsid w:val="00340A85"/>
    <w:rsid w:val="00341631"/>
    <w:rsid w:val="003418FB"/>
    <w:rsid w:val="00343B41"/>
    <w:rsid w:val="00345947"/>
    <w:rsid w:val="00346876"/>
    <w:rsid w:val="00355AAE"/>
    <w:rsid w:val="00355ED0"/>
    <w:rsid w:val="00360D23"/>
    <w:rsid w:val="003634EA"/>
    <w:rsid w:val="00363A05"/>
    <w:rsid w:val="0036400E"/>
    <w:rsid w:val="00364074"/>
    <w:rsid w:val="00364BCF"/>
    <w:rsid w:val="00367DD6"/>
    <w:rsid w:val="003730F2"/>
    <w:rsid w:val="00374D62"/>
    <w:rsid w:val="00375BA4"/>
    <w:rsid w:val="00377156"/>
    <w:rsid w:val="00383EED"/>
    <w:rsid w:val="00384698"/>
    <w:rsid w:val="00385D36"/>
    <w:rsid w:val="00396162"/>
    <w:rsid w:val="00396EC7"/>
    <w:rsid w:val="0039786B"/>
    <w:rsid w:val="003A0361"/>
    <w:rsid w:val="003A22AD"/>
    <w:rsid w:val="003A2EC2"/>
    <w:rsid w:val="003A4994"/>
    <w:rsid w:val="003C2083"/>
    <w:rsid w:val="003C64FB"/>
    <w:rsid w:val="003C6E36"/>
    <w:rsid w:val="003D3589"/>
    <w:rsid w:val="003D4146"/>
    <w:rsid w:val="003D68C2"/>
    <w:rsid w:val="003E3A5F"/>
    <w:rsid w:val="003E46A0"/>
    <w:rsid w:val="003F093F"/>
    <w:rsid w:val="003F11F6"/>
    <w:rsid w:val="003F467B"/>
    <w:rsid w:val="00401CAD"/>
    <w:rsid w:val="0040273D"/>
    <w:rsid w:val="0041209E"/>
    <w:rsid w:val="00414F82"/>
    <w:rsid w:val="00417CEE"/>
    <w:rsid w:val="00421303"/>
    <w:rsid w:val="00421527"/>
    <w:rsid w:val="004242ED"/>
    <w:rsid w:val="00424926"/>
    <w:rsid w:val="00427F76"/>
    <w:rsid w:val="004452E1"/>
    <w:rsid w:val="00445739"/>
    <w:rsid w:val="00446ABA"/>
    <w:rsid w:val="00446EC0"/>
    <w:rsid w:val="00454E24"/>
    <w:rsid w:val="004551BD"/>
    <w:rsid w:val="00456914"/>
    <w:rsid w:val="00456ED3"/>
    <w:rsid w:val="00465E48"/>
    <w:rsid w:val="00470FEA"/>
    <w:rsid w:val="0048084A"/>
    <w:rsid w:val="004835BC"/>
    <w:rsid w:val="004922D9"/>
    <w:rsid w:val="00493E39"/>
    <w:rsid w:val="00495053"/>
    <w:rsid w:val="0049794F"/>
    <w:rsid w:val="00497D33"/>
    <w:rsid w:val="004A1730"/>
    <w:rsid w:val="004B1FD2"/>
    <w:rsid w:val="004B6D2A"/>
    <w:rsid w:val="004C1D47"/>
    <w:rsid w:val="004C221B"/>
    <w:rsid w:val="004C3ED9"/>
    <w:rsid w:val="004C6CE6"/>
    <w:rsid w:val="004C6D20"/>
    <w:rsid w:val="004D328C"/>
    <w:rsid w:val="004D62E5"/>
    <w:rsid w:val="004E65AA"/>
    <w:rsid w:val="004E6C2B"/>
    <w:rsid w:val="004F19EE"/>
    <w:rsid w:val="004F1D4E"/>
    <w:rsid w:val="004F50C2"/>
    <w:rsid w:val="004F77C3"/>
    <w:rsid w:val="005017D6"/>
    <w:rsid w:val="005031A5"/>
    <w:rsid w:val="005034A5"/>
    <w:rsid w:val="00503CCC"/>
    <w:rsid w:val="0050719C"/>
    <w:rsid w:val="00511761"/>
    <w:rsid w:val="005133B8"/>
    <w:rsid w:val="005161B3"/>
    <w:rsid w:val="005327E5"/>
    <w:rsid w:val="00536E17"/>
    <w:rsid w:val="00542FAE"/>
    <w:rsid w:val="00544A5B"/>
    <w:rsid w:val="0055434E"/>
    <w:rsid w:val="00554DC2"/>
    <w:rsid w:val="00556816"/>
    <w:rsid w:val="00560117"/>
    <w:rsid w:val="0057125D"/>
    <w:rsid w:val="00573A25"/>
    <w:rsid w:val="00573CF4"/>
    <w:rsid w:val="00576A8B"/>
    <w:rsid w:val="00576EF2"/>
    <w:rsid w:val="00580FB3"/>
    <w:rsid w:val="00582BBD"/>
    <w:rsid w:val="00592D95"/>
    <w:rsid w:val="005934A3"/>
    <w:rsid w:val="00595B56"/>
    <w:rsid w:val="00595EAC"/>
    <w:rsid w:val="005A006F"/>
    <w:rsid w:val="005A46C3"/>
    <w:rsid w:val="005B1BFC"/>
    <w:rsid w:val="005B1C3E"/>
    <w:rsid w:val="005B4C2C"/>
    <w:rsid w:val="005C7EFA"/>
    <w:rsid w:val="005D4BFA"/>
    <w:rsid w:val="005D63DF"/>
    <w:rsid w:val="005E0E65"/>
    <w:rsid w:val="005F06B1"/>
    <w:rsid w:val="005F09BB"/>
    <w:rsid w:val="005F1290"/>
    <w:rsid w:val="005F33F7"/>
    <w:rsid w:val="00603837"/>
    <w:rsid w:val="006055D0"/>
    <w:rsid w:val="00607D05"/>
    <w:rsid w:val="00611197"/>
    <w:rsid w:val="00612810"/>
    <w:rsid w:val="00615C7F"/>
    <w:rsid w:val="006202D7"/>
    <w:rsid w:val="0062485F"/>
    <w:rsid w:val="00627BBC"/>
    <w:rsid w:val="00633446"/>
    <w:rsid w:val="00634F3D"/>
    <w:rsid w:val="006361DF"/>
    <w:rsid w:val="00637DBC"/>
    <w:rsid w:val="00644B28"/>
    <w:rsid w:val="00645E12"/>
    <w:rsid w:val="00647485"/>
    <w:rsid w:val="0065002B"/>
    <w:rsid w:val="0065217B"/>
    <w:rsid w:val="0065546E"/>
    <w:rsid w:val="00656284"/>
    <w:rsid w:val="00662238"/>
    <w:rsid w:val="00663FBF"/>
    <w:rsid w:val="00664C53"/>
    <w:rsid w:val="006656DA"/>
    <w:rsid w:val="00671B57"/>
    <w:rsid w:val="00675C16"/>
    <w:rsid w:val="006767B6"/>
    <w:rsid w:val="006778B3"/>
    <w:rsid w:val="00680BF5"/>
    <w:rsid w:val="00682769"/>
    <w:rsid w:val="006830B4"/>
    <w:rsid w:val="006839C5"/>
    <w:rsid w:val="00684DB8"/>
    <w:rsid w:val="00690E10"/>
    <w:rsid w:val="0069446B"/>
    <w:rsid w:val="0069565D"/>
    <w:rsid w:val="00697CC1"/>
    <w:rsid w:val="006A02FC"/>
    <w:rsid w:val="006A0514"/>
    <w:rsid w:val="006A4E14"/>
    <w:rsid w:val="006B5C97"/>
    <w:rsid w:val="006C00C3"/>
    <w:rsid w:val="006C0E48"/>
    <w:rsid w:val="006C1D4D"/>
    <w:rsid w:val="006C346D"/>
    <w:rsid w:val="006C5B9D"/>
    <w:rsid w:val="006C6B6A"/>
    <w:rsid w:val="006D00EB"/>
    <w:rsid w:val="006D3FC6"/>
    <w:rsid w:val="006E23EE"/>
    <w:rsid w:val="006E63E3"/>
    <w:rsid w:val="006F080E"/>
    <w:rsid w:val="006F5314"/>
    <w:rsid w:val="006F5D67"/>
    <w:rsid w:val="006F687D"/>
    <w:rsid w:val="006F7B4F"/>
    <w:rsid w:val="00702511"/>
    <w:rsid w:val="0070376B"/>
    <w:rsid w:val="0070380A"/>
    <w:rsid w:val="0070602B"/>
    <w:rsid w:val="00706C34"/>
    <w:rsid w:val="00706C78"/>
    <w:rsid w:val="00712706"/>
    <w:rsid w:val="007152E8"/>
    <w:rsid w:val="00715EF7"/>
    <w:rsid w:val="00716002"/>
    <w:rsid w:val="00721710"/>
    <w:rsid w:val="00723C29"/>
    <w:rsid w:val="007256C8"/>
    <w:rsid w:val="0073189A"/>
    <w:rsid w:val="00731E06"/>
    <w:rsid w:val="00734A90"/>
    <w:rsid w:val="00744C38"/>
    <w:rsid w:val="00745D78"/>
    <w:rsid w:val="007477A0"/>
    <w:rsid w:val="00753008"/>
    <w:rsid w:val="00756A1E"/>
    <w:rsid w:val="00760C93"/>
    <w:rsid w:val="007659AA"/>
    <w:rsid w:val="007727D5"/>
    <w:rsid w:val="0077633C"/>
    <w:rsid w:val="00777058"/>
    <w:rsid w:val="00777650"/>
    <w:rsid w:val="007826B9"/>
    <w:rsid w:val="00785615"/>
    <w:rsid w:val="007859FD"/>
    <w:rsid w:val="00790B5A"/>
    <w:rsid w:val="0079406B"/>
    <w:rsid w:val="007A3607"/>
    <w:rsid w:val="007C16DD"/>
    <w:rsid w:val="007C2BE7"/>
    <w:rsid w:val="007C49BB"/>
    <w:rsid w:val="007C77CF"/>
    <w:rsid w:val="007D11A8"/>
    <w:rsid w:val="007D1AE7"/>
    <w:rsid w:val="007D2CD6"/>
    <w:rsid w:val="007D6B23"/>
    <w:rsid w:val="007D734D"/>
    <w:rsid w:val="007E47D6"/>
    <w:rsid w:val="007E4A0A"/>
    <w:rsid w:val="007E61FB"/>
    <w:rsid w:val="007E65C5"/>
    <w:rsid w:val="007F11FD"/>
    <w:rsid w:val="007F49F0"/>
    <w:rsid w:val="0080178F"/>
    <w:rsid w:val="0080282F"/>
    <w:rsid w:val="00803E10"/>
    <w:rsid w:val="00804D46"/>
    <w:rsid w:val="008104BB"/>
    <w:rsid w:val="00812CCE"/>
    <w:rsid w:val="0081383F"/>
    <w:rsid w:val="00817B9A"/>
    <w:rsid w:val="00817D85"/>
    <w:rsid w:val="00817FA9"/>
    <w:rsid w:val="008219FD"/>
    <w:rsid w:val="008223D9"/>
    <w:rsid w:val="00825B7D"/>
    <w:rsid w:val="008266D1"/>
    <w:rsid w:val="008350DC"/>
    <w:rsid w:val="008354AA"/>
    <w:rsid w:val="008370A8"/>
    <w:rsid w:val="0083711B"/>
    <w:rsid w:val="008432F0"/>
    <w:rsid w:val="008440D5"/>
    <w:rsid w:val="00846B83"/>
    <w:rsid w:val="008473CF"/>
    <w:rsid w:val="008475DB"/>
    <w:rsid w:val="00851A68"/>
    <w:rsid w:val="00851EE6"/>
    <w:rsid w:val="008537E0"/>
    <w:rsid w:val="00856778"/>
    <w:rsid w:val="00861316"/>
    <w:rsid w:val="008613CC"/>
    <w:rsid w:val="008673BE"/>
    <w:rsid w:val="00867E07"/>
    <w:rsid w:val="00867F83"/>
    <w:rsid w:val="00870E3C"/>
    <w:rsid w:val="00872D93"/>
    <w:rsid w:val="00873944"/>
    <w:rsid w:val="008754B1"/>
    <w:rsid w:val="00877FD4"/>
    <w:rsid w:val="00890012"/>
    <w:rsid w:val="00892439"/>
    <w:rsid w:val="00892E40"/>
    <w:rsid w:val="008940C3"/>
    <w:rsid w:val="008958D0"/>
    <w:rsid w:val="008A187A"/>
    <w:rsid w:val="008A342F"/>
    <w:rsid w:val="008A4490"/>
    <w:rsid w:val="008B36A7"/>
    <w:rsid w:val="008B4A96"/>
    <w:rsid w:val="008B617D"/>
    <w:rsid w:val="008C5FD4"/>
    <w:rsid w:val="008D60FD"/>
    <w:rsid w:val="008E5CB9"/>
    <w:rsid w:val="008F4CA0"/>
    <w:rsid w:val="00900162"/>
    <w:rsid w:val="009008C7"/>
    <w:rsid w:val="00901AEC"/>
    <w:rsid w:val="00903E70"/>
    <w:rsid w:val="00904633"/>
    <w:rsid w:val="00904F0A"/>
    <w:rsid w:val="009060B5"/>
    <w:rsid w:val="0091470D"/>
    <w:rsid w:val="00915080"/>
    <w:rsid w:val="00922EBB"/>
    <w:rsid w:val="00923DC6"/>
    <w:rsid w:val="00925646"/>
    <w:rsid w:val="00930941"/>
    <w:rsid w:val="00943575"/>
    <w:rsid w:val="009442AC"/>
    <w:rsid w:val="00945C85"/>
    <w:rsid w:val="0094712D"/>
    <w:rsid w:val="00952946"/>
    <w:rsid w:val="00952B0F"/>
    <w:rsid w:val="00953431"/>
    <w:rsid w:val="00964526"/>
    <w:rsid w:val="009672D1"/>
    <w:rsid w:val="00972AF2"/>
    <w:rsid w:val="00973B01"/>
    <w:rsid w:val="009803F2"/>
    <w:rsid w:val="00981C51"/>
    <w:rsid w:val="0098351D"/>
    <w:rsid w:val="00984537"/>
    <w:rsid w:val="00991428"/>
    <w:rsid w:val="0099150F"/>
    <w:rsid w:val="009B36AD"/>
    <w:rsid w:val="009C4455"/>
    <w:rsid w:val="009C4FD5"/>
    <w:rsid w:val="009D4BB2"/>
    <w:rsid w:val="009D5F4A"/>
    <w:rsid w:val="009D7BD6"/>
    <w:rsid w:val="009E3872"/>
    <w:rsid w:val="009E3A07"/>
    <w:rsid w:val="009E672D"/>
    <w:rsid w:val="009F220D"/>
    <w:rsid w:val="009F3187"/>
    <w:rsid w:val="009F4344"/>
    <w:rsid w:val="00A0026C"/>
    <w:rsid w:val="00A007AC"/>
    <w:rsid w:val="00A01223"/>
    <w:rsid w:val="00A07B4C"/>
    <w:rsid w:val="00A110EC"/>
    <w:rsid w:val="00A11BDE"/>
    <w:rsid w:val="00A20BC5"/>
    <w:rsid w:val="00A21BDE"/>
    <w:rsid w:val="00A21FC5"/>
    <w:rsid w:val="00A22BDE"/>
    <w:rsid w:val="00A25E54"/>
    <w:rsid w:val="00A26FBF"/>
    <w:rsid w:val="00A358A7"/>
    <w:rsid w:val="00A378EB"/>
    <w:rsid w:val="00A408EF"/>
    <w:rsid w:val="00A41B44"/>
    <w:rsid w:val="00A43CF7"/>
    <w:rsid w:val="00A45917"/>
    <w:rsid w:val="00A45E43"/>
    <w:rsid w:val="00A4663F"/>
    <w:rsid w:val="00A46D7A"/>
    <w:rsid w:val="00A50D3D"/>
    <w:rsid w:val="00A5616B"/>
    <w:rsid w:val="00A606A9"/>
    <w:rsid w:val="00A6242A"/>
    <w:rsid w:val="00A6653A"/>
    <w:rsid w:val="00A70E9E"/>
    <w:rsid w:val="00A7359B"/>
    <w:rsid w:val="00A81DCD"/>
    <w:rsid w:val="00A85418"/>
    <w:rsid w:val="00A8664B"/>
    <w:rsid w:val="00A867D4"/>
    <w:rsid w:val="00A86A49"/>
    <w:rsid w:val="00A86AB8"/>
    <w:rsid w:val="00A93FD9"/>
    <w:rsid w:val="00A95AAA"/>
    <w:rsid w:val="00A96622"/>
    <w:rsid w:val="00A9740E"/>
    <w:rsid w:val="00AA02EC"/>
    <w:rsid w:val="00AA3E1F"/>
    <w:rsid w:val="00AA6A59"/>
    <w:rsid w:val="00AB6AC6"/>
    <w:rsid w:val="00AC026C"/>
    <w:rsid w:val="00AC10A3"/>
    <w:rsid w:val="00AC3151"/>
    <w:rsid w:val="00AC3528"/>
    <w:rsid w:val="00AC43D5"/>
    <w:rsid w:val="00AC4E13"/>
    <w:rsid w:val="00AC5B14"/>
    <w:rsid w:val="00AC5D47"/>
    <w:rsid w:val="00AC6D57"/>
    <w:rsid w:val="00AD0868"/>
    <w:rsid w:val="00AD09B5"/>
    <w:rsid w:val="00AD3C1C"/>
    <w:rsid w:val="00AD485C"/>
    <w:rsid w:val="00AD5DE3"/>
    <w:rsid w:val="00AE3A1B"/>
    <w:rsid w:val="00AE6DF4"/>
    <w:rsid w:val="00AF4D84"/>
    <w:rsid w:val="00B01996"/>
    <w:rsid w:val="00B03FA9"/>
    <w:rsid w:val="00B064DC"/>
    <w:rsid w:val="00B06749"/>
    <w:rsid w:val="00B127B5"/>
    <w:rsid w:val="00B15652"/>
    <w:rsid w:val="00B200AA"/>
    <w:rsid w:val="00B202E8"/>
    <w:rsid w:val="00B21432"/>
    <w:rsid w:val="00B22364"/>
    <w:rsid w:val="00B24BC5"/>
    <w:rsid w:val="00B27C5D"/>
    <w:rsid w:val="00B36CBB"/>
    <w:rsid w:val="00B36CC3"/>
    <w:rsid w:val="00B42720"/>
    <w:rsid w:val="00B45E25"/>
    <w:rsid w:val="00B4780A"/>
    <w:rsid w:val="00B520CE"/>
    <w:rsid w:val="00B52186"/>
    <w:rsid w:val="00B52B9E"/>
    <w:rsid w:val="00B537CF"/>
    <w:rsid w:val="00B54250"/>
    <w:rsid w:val="00B563A1"/>
    <w:rsid w:val="00B56A65"/>
    <w:rsid w:val="00B56F4B"/>
    <w:rsid w:val="00B57769"/>
    <w:rsid w:val="00B7005C"/>
    <w:rsid w:val="00B73C87"/>
    <w:rsid w:val="00B8099F"/>
    <w:rsid w:val="00B81E70"/>
    <w:rsid w:val="00B87777"/>
    <w:rsid w:val="00B920B7"/>
    <w:rsid w:val="00B92C75"/>
    <w:rsid w:val="00B95D65"/>
    <w:rsid w:val="00BA0283"/>
    <w:rsid w:val="00BA0452"/>
    <w:rsid w:val="00BA2BE2"/>
    <w:rsid w:val="00BA2EA7"/>
    <w:rsid w:val="00BA6784"/>
    <w:rsid w:val="00BA71CE"/>
    <w:rsid w:val="00BA7719"/>
    <w:rsid w:val="00BB2546"/>
    <w:rsid w:val="00BB327A"/>
    <w:rsid w:val="00BB5176"/>
    <w:rsid w:val="00BC14E1"/>
    <w:rsid w:val="00BC55D5"/>
    <w:rsid w:val="00BC5FFA"/>
    <w:rsid w:val="00BC750A"/>
    <w:rsid w:val="00BD1E27"/>
    <w:rsid w:val="00BD1EE5"/>
    <w:rsid w:val="00BE2B42"/>
    <w:rsid w:val="00BE4B04"/>
    <w:rsid w:val="00BF1557"/>
    <w:rsid w:val="00BF1FF2"/>
    <w:rsid w:val="00BF3C2F"/>
    <w:rsid w:val="00BF688B"/>
    <w:rsid w:val="00BF6B4B"/>
    <w:rsid w:val="00C014BE"/>
    <w:rsid w:val="00C0333C"/>
    <w:rsid w:val="00C075C5"/>
    <w:rsid w:val="00C1417D"/>
    <w:rsid w:val="00C147B9"/>
    <w:rsid w:val="00C14CC6"/>
    <w:rsid w:val="00C15FEE"/>
    <w:rsid w:val="00C162D0"/>
    <w:rsid w:val="00C212B3"/>
    <w:rsid w:val="00C21AB7"/>
    <w:rsid w:val="00C22BC6"/>
    <w:rsid w:val="00C23403"/>
    <w:rsid w:val="00C30476"/>
    <w:rsid w:val="00C306C7"/>
    <w:rsid w:val="00C32FF0"/>
    <w:rsid w:val="00C369DD"/>
    <w:rsid w:val="00C414EB"/>
    <w:rsid w:val="00C442BB"/>
    <w:rsid w:val="00C51637"/>
    <w:rsid w:val="00C53027"/>
    <w:rsid w:val="00C54B73"/>
    <w:rsid w:val="00C614CD"/>
    <w:rsid w:val="00C661DB"/>
    <w:rsid w:val="00C679DE"/>
    <w:rsid w:val="00C70A25"/>
    <w:rsid w:val="00C70BAE"/>
    <w:rsid w:val="00C72A88"/>
    <w:rsid w:val="00C73D1A"/>
    <w:rsid w:val="00C75D82"/>
    <w:rsid w:val="00C76298"/>
    <w:rsid w:val="00C76EA3"/>
    <w:rsid w:val="00C77C41"/>
    <w:rsid w:val="00C802E8"/>
    <w:rsid w:val="00C82201"/>
    <w:rsid w:val="00C8460E"/>
    <w:rsid w:val="00C87126"/>
    <w:rsid w:val="00C90D64"/>
    <w:rsid w:val="00C91A44"/>
    <w:rsid w:val="00C93540"/>
    <w:rsid w:val="00C961F3"/>
    <w:rsid w:val="00C97A65"/>
    <w:rsid w:val="00CA035C"/>
    <w:rsid w:val="00CA0D22"/>
    <w:rsid w:val="00CA730C"/>
    <w:rsid w:val="00CA7BA4"/>
    <w:rsid w:val="00CB42DE"/>
    <w:rsid w:val="00CC2399"/>
    <w:rsid w:val="00CC2FF2"/>
    <w:rsid w:val="00CC771B"/>
    <w:rsid w:val="00CD376D"/>
    <w:rsid w:val="00CD4F44"/>
    <w:rsid w:val="00CD5E58"/>
    <w:rsid w:val="00CE0C1A"/>
    <w:rsid w:val="00CE0DBE"/>
    <w:rsid w:val="00CE3DE0"/>
    <w:rsid w:val="00CE3F86"/>
    <w:rsid w:val="00CE69F7"/>
    <w:rsid w:val="00CF09A5"/>
    <w:rsid w:val="00CF2DE7"/>
    <w:rsid w:val="00D02DC6"/>
    <w:rsid w:val="00D03656"/>
    <w:rsid w:val="00D03C11"/>
    <w:rsid w:val="00D17D16"/>
    <w:rsid w:val="00D21415"/>
    <w:rsid w:val="00D44138"/>
    <w:rsid w:val="00D511C0"/>
    <w:rsid w:val="00D521C6"/>
    <w:rsid w:val="00D544AC"/>
    <w:rsid w:val="00D557A4"/>
    <w:rsid w:val="00D6127F"/>
    <w:rsid w:val="00D7406B"/>
    <w:rsid w:val="00D804FC"/>
    <w:rsid w:val="00D81447"/>
    <w:rsid w:val="00D8163B"/>
    <w:rsid w:val="00D84CB5"/>
    <w:rsid w:val="00D868C3"/>
    <w:rsid w:val="00D905AB"/>
    <w:rsid w:val="00D948F5"/>
    <w:rsid w:val="00D94A69"/>
    <w:rsid w:val="00D95931"/>
    <w:rsid w:val="00D9658D"/>
    <w:rsid w:val="00D9768B"/>
    <w:rsid w:val="00DA5570"/>
    <w:rsid w:val="00DA66D3"/>
    <w:rsid w:val="00DB6109"/>
    <w:rsid w:val="00DB7D2D"/>
    <w:rsid w:val="00DC5BEF"/>
    <w:rsid w:val="00DC7C28"/>
    <w:rsid w:val="00DC7C3B"/>
    <w:rsid w:val="00DE5B1D"/>
    <w:rsid w:val="00DF2203"/>
    <w:rsid w:val="00DF4E62"/>
    <w:rsid w:val="00E01B5B"/>
    <w:rsid w:val="00E05574"/>
    <w:rsid w:val="00E05FF1"/>
    <w:rsid w:val="00E0686C"/>
    <w:rsid w:val="00E144B4"/>
    <w:rsid w:val="00E14839"/>
    <w:rsid w:val="00E17954"/>
    <w:rsid w:val="00E277A1"/>
    <w:rsid w:val="00E36A82"/>
    <w:rsid w:val="00E468CA"/>
    <w:rsid w:val="00E516EB"/>
    <w:rsid w:val="00E51C42"/>
    <w:rsid w:val="00E54C6D"/>
    <w:rsid w:val="00E61373"/>
    <w:rsid w:val="00E61BBB"/>
    <w:rsid w:val="00E63409"/>
    <w:rsid w:val="00E65574"/>
    <w:rsid w:val="00E718EA"/>
    <w:rsid w:val="00E74BB6"/>
    <w:rsid w:val="00E77DD4"/>
    <w:rsid w:val="00E81DCF"/>
    <w:rsid w:val="00E84E19"/>
    <w:rsid w:val="00E86CCC"/>
    <w:rsid w:val="00E924E7"/>
    <w:rsid w:val="00E92AC3"/>
    <w:rsid w:val="00E97E5C"/>
    <w:rsid w:val="00EB1504"/>
    <w:rsid w:val="00EB2377"/>
    <w:rsid w:val="00EB6041"/>
    <w:rsid w:val="00EC1AA8"/>
    <w:rsid w:val="00EC1D4E"/>
    <w:rsid w:val="00EC26D0"/>
    <w:rsid w:val="00EC2D9F"/>
    <w:rsid w:val="00EC6013"/>
    <w:rsid w:val="00ED093A"/>
    <w:rsid w:val="00ED257E"/>
    <w:rsid w:val="00ED6500"/>
    <w:rsid w:val="00ED7118"/>
    <w:rsid w:val="00EE013F"/>
    <w:rsid w:val="00EE5928"/>
    <w:rsid w:val="00EF4E99"/>
    <w:rsid w:val="00EF587A"/>
    <w:rsid w:val="00F03DC3"/>
    <w:rsid w:val="00F2403E"/>
    <w:rsid w:val="00F25AD3"/>
    <w:rsid w:val="00F3311E"/>
    <w:rsid w:val="00F41944"/>
    <w:rsid w:val="00F44B3E"/>
    <w:rsid w:val="00F46FF9"/>
    <w:rsid w:val="00F470B6"/>
    <w:rsid w:val="00F50F4F"/>
    <w:rsid w:val="00F512E3"/>
    <w:rsid w:val="00F532AB"/>
    <w:rsid w:val="00F53392"/>
    <w:rsid w:val="00F56678"/>
    <w:rsid w:val="00F5768E"/>
    <w:rsid w:val="00F57797"/>
    <w:rsid w:val="00F57EE8"/>
    <w:rsid w:val="00F63F2F"/>
    <w:rsid w:val="00F67791"/>
    <w:rsid w:val="00F72A7A"/>
    <w:rsid w:val="00F822AF"/>
    <w:rsid w:val="00F83750"/>
    <w:rsid w:val="00F92CC0"/>
    <w:rsid w:val="00F95E56"/>
    <w:rsid w:val="00F96004"/>
    <w:rsid w:val="00FA0E9C"/>
    <w:rsid w:val="00FA41B6"/>
    <w:rsid w:val="00FA60B0"/>
    <w:rsid w:val="00FA70AA"/>
    <w:rsid w:val="00FA7A46"/>
    <w:rsid w:val="00FB22ED"/>
    <w:rsid w:val="00FB27BA"/>
    <w:rsid w:val="00FB424C"/>
    <w:rsid w:val="00FB5EBA"/>
    <w:rsid w:val="00FB7A2D"/>
    <w:rsid w:val="00FB7B8F"/>
    <w:rsid w:val="00FC1B0E"/>
    <w:rsid w:val="00FC4ACF"/>
    <w:rsid w:val="00FD0A48"/>
    <w:rsid w:val="00FE02B3"/>
    <w:rsid w:val="00FE1897"/>
    <w:rsid w:val="00FE670B"/>
    <w:rsid w:val="00FF168F"/>
    <w:rsid w:val="00FF5644"/>
    <w:rsid w:val="00FF62EF"/>
    <w:rsid w:val="00FF69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FF0F"/>
  <w15:docId w15:val="{9A125CA9-685E-439E-AA0B-2044ED05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0B5"/>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92439"/>
    <w:rPr>
      <w:color w:val="0563C1" w:themeColor="hyperlink"/>
      <w:u w:val="single"/>
    </w:rPr>
  </w:style>
  <w:style w:type="character" w:customStyle="1" w:styleId="MenoPendente1">
    <w:name w:val="Menção Pendente1"/>
    <w:basedOn w:val="Fontepargpadro"/>
    <w:uiPriority w:val="99"/>
    <w:semiHidden/>
    <w:unhideWhenUsed/>
    <w:rsid w:val="00892439"/>
    <w:rPr>
      <w:color w:val="808080"/>
      <w:shd w:val="clear" w:color="auto" w:fill="E6E6E6"/>
    </w:rPr>
  </w:style>
  <w:style w:type="paragraph" w:styleId="Cabealho">
    <w:name w:val="header"/>
    <w:basedOn w:val="Normal"/>
    <w:link w:val="CabealhoChar"/>
    <w:uiPriority w:val="99"/>
    <w:unhideWhenUsed/>
    <w:rsid w:val="00914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470D"/>
  </w:style>
  <w:style w:type="paragraph" w:styleId="Rodap">
    <w:name w:val="footer"/>
    <w:basedOn w:val="Normal"/>
    <w:link w:val="RodapChar"/>
    <w:uiPriority w:val="99"/>
    <w:unhideWhenUsed/>
    <w:rsid w:val="0091470D"/>
    <w:pPr>
      <w:tabs>
        <w:tab w:val="center" w:pos="4252"/>
        <w:tab w:val="right" w:pos="8504"/>
      </w:tabs>
      <w:spacing w:after="0" w:line="240" w:lineRule="auto"/>
    </w:pPr>
  </w:style>
  <w:style w:type="character" w:customStyle="1" w:styleId="RodapChar">
    <w:name w:val="Rodapé Char"/>
    <w:basedOn w:val="Fontepargpadro"/>
    <w:link w:val="Rodap"/>
    <w:uiPriority w:val="99"/>
    <w:rsid w:val="0091470D"/>
  </w:style>
  <w:style w:type="paragraph" w:styleId="Textodebalo">
    <w:name w:val="Balloon Text"/>
    <w:basedOn w:val="Normal"/>
    <w:link w:val="TextodebaloChar"/>
    <w:uiPriority w:val="99"/>
    <w:semiHidden/>
    <w:unhideWhenUsed/>
    <w:rsid w:val="004F1D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1D4E"/>
    <w:rPr>
      <w:rFonts w:ascii="Tahoma" w:hAnsi="Tahoma" w:cs="Tahoma"/>
      <w:sz w:val="16"/>
      <w:szCs w:val="16"/>
    </w:rPr>
  </w:style>
  <w:style w:type="character" w:customStyle="1" w:styleId="MenoPendente2">
    <w:name w:val="Menção Pendente2"/>
    <w:basedOn w:val="Fontepargpadro"/>
    <w:uiPriority w:val="99"/>
    <w:semiHidden/>
    <w:unhideWhenUsed/>
    <w:rsid w:val="00697CC1"/>
    <w:rPr>
      <w:color w:val="808080"/>
      <w:shd w:val="clear" w:color="auto" w:fill="E6E6E6"/>
    </w:rPr>
  </w:style>
  <w:style w:type="paragraph" w:styleId="PargrafodaLista">
    <w:name w:val="List Paragraph"/>
    <w:basedOn w:val="Normal"/>
    <w:uiPriority w:val="34"/>
    <w:qFormat/>
    <w:rsid w:val="00D03C11"/>
    <w:pPr>
      <w:ind w:left="720"/>
      <w:contextualSpacing/>
    </w:pPr>
  </w:style>
  <w:style w:type="character" w:styleId="Nmerodelinha">
    <w:name w:val="line number"/>
    <w:basedOn w:val="Fontepargpadro"/>
    <w:uiPriority w:val="99"/>
    <w:semiHidden/>
    <w:unhideWhenUsed/>
    <w:rsid w:val="0005671A"/>
  </w:style>
  <w:style w:type="character" w:customStyle="1" w:styleId="inline">
    <w:name w:val="inline"/>
    <w:basedOn w:val="Fontepargpadro"/>
    <w:rsid w:val="00BA0452"/>
  </w:style>
  <w:style w:type="character" w:customStyle="1" w:styleId="st">
    <w:name w:val="st"/>
    <w:basedOn w:val="Fontepargpadro"/>
    <w:rsid w:val="00BA0452"/>
  </w:style>
  <w:style w:type="character" w:styleId="nfase">
    <w:name w:val="Emphasis"/>
    <w:basedOn w:val="Fontepargpadro"/>
    <w:uiPriority w:val="20"/>
    <w:qFormat/>
    <w:rsid w:val="00BA0452"/>
    <w:rPr>
      <w:i/>
      <w:iCs/>
    </w:rPr>
  </w:style>
  <w:style w:type="character" w:styleId="Refdecomentrio">
    <w:name w:val="annotation reference"/>
    <w:basedOn w:val="Fontepargpadro"/>
    <w:uiPriority w:val="99"/>
    <w:semiHidden/>
    <w:unhideWhenUsed/>
    <w:rsid w:val="00BB5176"/>
    <w:rPr>
      <w:sz w:val="16"/>
      <w:szCs w:val="16"/>
    </w:rPr>
  </w:style>
  <w:style w:type="paragraph" w:styleId="Textodecomentrio">
    <w:name w:val="annotation text"/>
    <w:basedOn w:val="Normal"/>
    <w:link w:val="TextodecomentrioChar"/>
    <w:uiPriority w:val="99"/>
    <w:semiHidden/>
    <w:unhideWhenUsed/>
    <w:rsid w:val="00BB51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5176"/>
    <w:rPr>
      <w:sz w:val="20"/>
      <w:szCs w:val="20"/>
    </w:rPr>
  </w:style>
  <w:style w:type="paragraph" w:styleId="Assuntodocomentrio">
    <w:name w:val="annotation subject"/>
    <w:basedOn w:val="Textodecomentrio"/>
    <w:next w:val="Textodecomentrio"/>
    <w:link w:val="AssuntodocomentrioChar"/>
    <w:uiPriority w:val="99"/>
    <w:semiHidden/>
    <w:unhideWhenUsed/>
    <w:rsid w:val="00BB5176"/>
    <w:rPr>
      <w:b/>
      <w:bCs/>
    </w:rPr>
  </w:style>
  <w:style w:type="character" w:customStyle="1" w:styleId="AssuntodocomentrioChar">
    <w:name w:val="Assunto do comentário Char"/>
    <w:basedOn w:val="TextodecomentrioChar"/>
    <w:link w:val="Assuntodocomentrio"/>
    <w:uiPriority w:val="99"/>
    <w:semiHidden/>
    <w:rsid w:val="00BB5176"/>
    <w:rPr>
      <w:b/>
      <w:bCs/>
      <w:sz w:val="20"/>
      <w:szCs w:val="20"/>
    </w:rPr>
  </w:style>
  <w:style w:type="paragraph" w:customStyle="1" w:styleId="font8">
    <w:name w:val="font_8"/>
    <w:basedOn w:val="Normal"/>
    <w:rsid w:val="00BF3C2F"/>
    <w:pPr>
      <w:suppressAutoHyphens/>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33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le-text">
    <w:name w:val="title-text"/>
    <w:basedOn w:val="Fontepargpadro"/>
    <w:rsid w:val="00F3311E"/>
  </w:style>
  <w:style w:type="paragraph" w:styleId="SemEspaamento">
    <w:name w:val="No Spacing"/>
    <w:uiPriority w:val="1"/>
    <w:qFormat/>
    <w:rsid w:val="00F3311E"/>
    <w:pPr>
      <w:spacing w:after="0" w:line="240" w:lineRule="auto"/>
    </w:pPr>
  </w:style>
  <w:style w:type="character" w:customStyle="1" w:styleId="pubyear">
    <w:name w:val="pubyear"/>
    <w:basedOn w:val="Fontepargpadro"/>
    <w:rsid w:val="00B52186"/>
  </w:style>
  <w:style w:type="character" w:customStyle="1" w:styleId="booktitle">
    <w:name w:val="booktitle"/>
    <w:basedOn w:val="Fontepargpadro"/>
    <w:rsid w:val="00B52186"/>
  </w:style>
  <w:style w:type="character" w:customStyle="1" w:styleId="edition">
    <w:name w:val="edition"/>
    <w:basedOn w:val="Fontepargpadro"/>
    <w:rsid w:val="00B52186"/>
  </w:style>
  <w:style w:type="character" w:styleId="Forte">
    <w:name w:val="Strong"/>
    <w:basedOn w:val="Fontepargpadro"/>
    <w:uiPriority w:val="22"/>
    <w:qFormat/>
    <w:rsid w:val="00B52186"/>
    <w:rPr>
      <w:b/>
      <w:bCs/>
    </w:rPr>
  </w:style>
  <w:style w:type="paragraph" w:styleId="Reviso">
    <w:name w:val="Revision"/>
    <w:hidden/>
    <w:uiPriority w:val="99"/>
    <w:semiHidden/>
    <w:rsid w:val="00F822AF"/>
    <w:pPr>
      <w:spacing w:after="0" w:line="240" w:lineRule="auto"/>
    </w:pPr>
  </w:style>
  <w:style w:type="character" w:styleId="Nmerodepgina">
    <w:name w:val="page number"/>
    <w:basedOn w:val="Fontepargpadro"/>
    <w:uiPriority w:val="99"/>
    <w:semiHidden/>
    <w:unhideWhenUsed/>
    <w:rsid w:val="003C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980">
      <w:bodyDiv w:val="1"/>
      <w:marLeft w:val="0"/>
      <w:marRight w:val="0"/>
      <w:marTop w:val="0"/>
      <w:marBottom w:val="0"/>
      <w:divBdr>
        <w:top w:val="none" w:sz="0" w:space="0" w:color="auto"/>
        <w:left w:val="none" w:sz="0" w:space="0" w:color="auto"/>
        <w:bottom w:val="none" w:sz="0" w:space="0" w:color="auto"/>
        <w:right w:val="none" w:sz="0" w:space="0" w:color="auto"/>
      </w:divBdr>
    </w:div>
    <w:div w:id="2063871227">
      <w:bodyDiv w:val="1"/>
      <w:marLeft w:val="0"/>
      <w:marRight w:val="0"/>
      <w:marTop w:val="0"/>
      <w:marBottom w:val="0"/>
      <w:divBdr>
        <w:top w:val="none" w:sz="0" w:space="0" w:color="auto"/>
        <w:left w:val="none" w:sz="0" w:space="0" w:color="auto"/>
        <w:bottom w:val="none" w:sz="0" w:space="0" w:color="auto"/>
        <w:right w:val="none" w:sz="0" w:space="0" w:color="auto"/>
      </w:divBdr>
    </w:div>
    <w:div w:id="20904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lotulerperrone@gmail.com" TargetMode="External"/><Relationship Id="rId13" Type="http://schemas.openxmlformats.org/officeDocument/2006/relationships/hyperlink" Target="https://www.sciencedirect.com/science/article/pii/S0268005X11001585" TargetMode="External"/><Relationship Id="rId18" Type="http://schemas.openxmlformats.org/officeDocument/2006/relationships/hyperlink" Target="https://www.sciencedirect.com/topics/agricultural-and-biological-sciences/milk-protein-concentrates" TargetMode="External"/><Relationship Id="rId26" Type="http://schemas.openxmlformats.org/officeDocument/2006/relationships/hyperlink" Target="https://www.sciencedirect.com/science/article/pii/S0268005X16306452" TargetMode="External"/><Relationship Id="rId3" Type="http://schemas.openxmlformats.org/officeDocument/2006/relationships/styles" Target="styles.xml"/><Relationship Id="rId21" Type="http://schemas.openxmlformats.org/officeDocument/2006/relationships/hyperlink" Target="https://www.sciencedirect.com/science/article/pii/B9780081005965211554" TargetMode="External"/><Relationship Id="rId7" Type="http://schemas.openxmlformats.org/officeDocument/2006/relationships/endnotes" Target="endnotes.xml"/><Relationship Id="rId12" Type="http://schemas.openxmlformats.org/officeDocument/2006/relationships/hyperlink" Target="https://www.sciencedirect.com/science/article/pii/S0268005X11001585" TargetMode="External"/><Relationship Id="rId17" Type="http://schemas.openxmlformats.org/officeDocument/2006/relationships/hyperlink" Target="https://www.sciencedirect.com/topics/agricultural-and-biological-sciences/skim-milk" TargetMode="External"/><Relationship Id="rId25" Type="http://schemas.openxmlformats.org/officeDocument/2006/relationships/hyperlink" Target="https://www.sciencedirect.com/science/article/pii/S0268005X16306452" TargetMode="External"/><Relationship Id="rId2" Type="http://schemas.openxmlformats.org/officeDocument/2006/relationships/numbering" Target="numbering.xml"/><Relationship Id="rId16" Type="http://schemas.openxmlformats.org/officeDocument/2006/relationships/hyperlink" Target="https://www.sciencedirect.com/science/article/pii/B9780081005965211554" TargetMode="External"/><Relationship Id="rId20" Type="http://schemas.openxmlformats.org/officeDocument/2006/relationships/hyperlink" Target="https://www.sciencedirect.com/science/article/pii/B978008100596521155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268005X11001585" TargetMode="External"/><Relationship Id="rId24" Type="http://schemas.openxmlformats.org/officeDocument/2006/relationships/hyperlink" Target="https://www.sciencedirect.com/science/article/pii/S0268005X16306452" TargetMode="External"/><Relationship Id="rId5" Type="http://schemas.openxmlformats.org/officeDocument/2006/relationships/webSettings" Target="webSettings.xml"/><Relationship Id="rId15" Type="http://schemas.openxmlformats.org/officeDocument/2006/relationships/hyperlink" Target="https://www.sciencedirect.com/science/article/pii/B9780081005965211554" TargetMode="External"/><Relationship Id="rId23" Type="http://schemas.openxmlformats.org/officeDocument/2006/relationships/hyperlink" Target="https://www.sciencedirect.com/science/article/pii/B9780081005965211554" TargetMode="External"/><Relationship Id="rId28" Type="http://schemas.openxmlformats.org/officeDocument/2006/relationships/footer" Target="footer1.xml"/><Relationship Id="rId10" Type="http://schemas.openxmlformats.org/officeDocument/2006/relationships/hyperlink" Target="https://www.sciencedirect.com/topics/agricultural-and-biological-sciences/binding-energy" TargetMode="External"/><Relationship Id="rId19" Type="http://schemas.openxmlformats.org/officeDocument/2006/relationships/hyperlink" Target="https://www.sciencedirect.com/science/article/pii/B978008100596521155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science/article/pii/B9780081005965211554" TargetMode="External"/><Relationship Id="rId14" Type="http://schemas.openxmlformats.org/officeDocument/2006/relationships/hyperlink" Target="https://www.sciencedirect.com/science/article/pii/B9780081005965211554" TargetMode="External"/><Relationship Id="rId22" Type="http://schemas.openxmlformats.org/officeDocument/2006/relationships/hyperlink" Target="https://www.sciencedirect.com/science/article/pii/B9780081005965211554" TargetMode="External"/><Relationship Id="rId27" Type="http://schemas.openxmlformats.org/officeDocument/2006/relationships/hyperlink" Target="https://www.sciencedirect.com/science/article/pii/S0260877416302916"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C4C3-2002-9F40-84BA-E4C72D99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5820</Words>
  <Characters>31432</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Bergamin</dc:creator>
  <cp:lastModifiedBy>Ana Carolina Amaral De São José Perrone</cp:lastModifiedBy>
  <cp:revision>31</cp:revision>
  <dcterms:created xsi:type="dcterms:W3CDTF">2020-03-17T20:04:00Z</dcterms:created>
  <dcterms:modified xsi:type="dcterms:W3CDTF">2020-03-19T12:44:00Z</dcterms:modified>
</cp:coreProperties>
</file>